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85E" w14:textId="548B22FF" w:rsidR="008533ED" w:rsidRPr="00EB7B1D" w:rsidRDefault="008533ED" w:rsidP="00EB7B1D">
      <w:pPr>
        <w:ind w:left="6480" w:firstLine="720"/>
        <w:rPr>
          <w:b/>
          <w:bCs/>
        </w:rPr>
      </w:pPr>
      <w:r w:rsidRPr="00EB7B1D">
        <w:rPr>
          <w:rFonts w:ascii="Calibri" w:eastAsia="Calibri" w:hAnsi="Calibri" w:cs="Times New Roman"/>
          <w:noProof/>
          <w:lang w:val="en-US"/>
        </w:rPr>
        <w:drawing>
          <wp:inline distT="0" distB="0" distL="0" distR="0" wp14:anchorId="78CA7C75" wp14:editId="1489D74A">
            <wp:extent cx="1247356" cy="708660"/>
            <wp:effectExtent l="0" t="0" r="0" b="0"/>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8"/>
                    <a:stretch>
                      <a:fillRect/>
                    </a:stretch>
                  </pic:blipFill>
                  <pic:spPr>
                    <a:xfrm>
                      <a:off x="0" y="0"/>
                      <a:ext cx="1277428" cy="725745"/>
                    </a:xfrm>
                    <a:prstGeom prst="rect">
                      <a:avLst/>
                    </a:prstGeom>
                  </pic:spPr>
                </pic:pic>
              </a:graphicData>
            </a:graphic>
          </wp:inline>
        </w:drawing>
      </w:r>
    </w:p>
    <w:p w14:paraId="79B4D1C3" w14:textId="0C4C40F3" w:rsidR="0044036F" w:rsidRPr="00EB7B1D" w:rsidRDefault="0044036F" w:rsidP="006E301E">
      <w:pPr>
        <w:jc w:val="center"/>
        <w:rPr>
          <w:b/>
          <w:bCs/>
          <w:sz w:val="24"/>
          <w:szCs w:val="24"/>
        </w:rPr>
      </w:pPr>
      <w:r w:rsidRPr="00EB7B1D">
        <w:rPr>
          <w:b/>
          <w:bCs/>
          <w:sz w:val="24"/>
          <w:szCs w:val="24"/>
        </w:rPr>
        <w:t xml:space="preserve">Risk </w:t>
      </w:r>
      <w:r w:rsidR="007D37AB" w:rsidRPr="00EB7B1D">
        <w:rPr>
          <w:b/>
          <w:bCs/>
          <w:sz w:val="24"/>
          <w:szCs w:val="24"/>
        </w:rPr>
        <w:t>A</w:t>
      </w:r>
      <w:r w:rsidRPr="00EB7B1D">
        <w:rPr>
          <w:b/>
          <w:bCs/>
          <w:sz w:val="24"/>
          <w:szCs w:val="24"/>
        </w:rPr>
        <w:t xml:space="preserve">ppetite </w:t>
      </w:r>
      <w:r w:rsidR="007D37AB" w:rsidRPr="00EB7B1D">
        <w:rPr>
          <w:b/>
          <w:bCs/>
          <w:sz w:val="24"/>
          <w:szCs w:val="24"/>
        </w:rPr>
        <w:t>S</w:t>
      </w:r>
      <w:r w:rsidRPr="00EB7B1D">
        <w:rPr>
          <w:b/>
          <w:bCs/>
          <w:sz w:val="24"/>
          <w:szCs w:val="24"/>
        </w:rPr>
        <w:t>tatement</w:t>
      </w:r>
      <w:r w:rsidR="006E301E" w:rsidRPr="00EB7B1D">
        <w:rPr>
          <w:b/>
          <w:bCs/>
          <w:sz w:val="24"/>
          <w:szCs w:val="24"/>
        </w:rPr>
        <w:t xml:space="preserve"> </w:t>
      </w:r>
      <w:r w:rsidR="00E5071D">
        <w:rPr>
          <w:b/>
          <w:bCs/>
          <w:sz w:val="24"/>
          <w:szCs w:val="24"/>
        </w:rPr>
        <w:t>2025/26</w:t>
      </w:r>
    </w:p>
    <w:p w14:paraId="71BA0F59" w14:textId="0D4ACA61" w:rsidR="007D37AB" w:rsidRPr="00EB7B1D" w:rsidRDefault="0044036F" w:rsidP="0044036F">
      <w:pPr>
        <w:pStyle w:val="xmsonormal"/>
        <w:shd w:val="clear" w:color="auto" w:fill="FFFFFF"/>
        <w:spacing w:before="0" w:beforeAutospacing="0" w:after="0" w:afterAutospacing="0"/>
        <w:rPr>
          <w:rFonts w:ascii="Arial" w:hAnsi="Arial" w:cs="Arial"/>
          <w:b/>
          <w:bCs/>
          <w:color w:val="242424"/>
          <w:sz w:val="22"/>
          <w:szCs w:val="22"/>
          <w:u w:val="single"/>
          <w:bdr w:val="none" w:sz="0" w:space="0" w:color="auto" w:frame="1"/>
        </w:rPr>
      </w:pPr>
      <w:r w:rsidRPr="00EB7B1D">
        <w:rPr>
          <w:rFonts w:ascii="Arial" w:hAnsi="Arial" w:cs="Arial"/>
          <w:color w:val="242424"/>
          <w:sz w:val="22"/>
          <w:szCs w:val="22"/>
          <w:bdr w:val="none" w:sz="0" w:space="0" w:color="auto" w:frame="1"/>
        </w:rPr>
        <w:t> </w:t>
      </w:r>
      <w:r w:rsidR="007D37AB" w:rsidRPr="00EB7B1D">
        <w:rPr>
          <w:rFonts w:ascii="Arial" w:hAnsi="Arial" w:cs="Arial"/>
          <w:b/>
          <w:bCs/>
          <w:color w:val="242424"/>
          <w:sz w:val="22"/>
          <w:szCs w:val="22"/>
          <w:u w:val="single"/>
          <w:bdr w:val="none" w:sz="0" w:space="0" w:color="auto" w:frame="1"/>
        </w:rPr>
        <w:t>Definition</w:t>
      </w:r>
    </w:p>
    <w:p w14:paraId="18125345" w14:textId="7BC59543" w:rsidR="007D37AB" w:rsidRPr="00EB7B1D" w:rsidRDefault="007D37AB" w:rsidP="0044036F">
      <w:pPr>
        <w:pStyle w:val="xmsonormal"/>
        <w:shd w:val="clear" w:color="auto" w:fill="FFFFFF"/>
        <w:spacing w:before="0" w:beforeAutospacing="0" w:after="0" w:afterAutospacing="0"/>
        <w:rPr>
          <w:rFonts w:ascii="Arial" w:hAnsi="Arial" w:cs="Arial"/>
          <w:color w:val="242424"/>
          <w:sz w:val="22"/>
          <w:szCs w:val="22"/>
        </w:rPr>
      </w:pPr>
    </w:p>
    <w:p w14:paraId="3793456D" w14:textId="08C19ECA" w:rsidR="0044036F" w:rsidRPr="00EB7B1D" w:rsidRDefault="007D37AB" w:rsidP="00EB7B1D">
      <w:pPr>
        <w:autoSpaceDE w:val="0"/>
        <w:autoSpaceDN w:val="0"/>
        <w:adjustRightInd w:val="0"/>
        <w:spacing w:after="0" w:line="240" w:lineRule="auto"/>
        <w:rPr>
          <w:color w:val="242424"/>
          <w:sz w:val="23"/>
          <w:szCs w:val="23"/>
          <w:bdr w:val="none" w:sz="0" w:space="0" w:color="auto" w:frame="1"/>
        </w:rPr>
      </w:pPr>
      <w:r w:rsidRPr="00EB7B1D">
        <w:rPr>
          <w:rFonts w:eastAsia="Calibri"/>
          <w:sz w:val="23"/>
          <w:szCs w:val="23"/>
        </w:rPr>
        <w:t>The Good Governance Institute (GGI) defines risk appetite as</w:t>
      </w:r>
      <w:r w:rsidR="00EB7B1D" w:rsidRPr="00EB7B1D">
        <w:rPr>
          <w:rFonts w:eastAsia="Calibri"/>
          <w:sz w:val="23"/>
          <w:szCs w:val="23"/>
        </w:rPr>
        <w:t xml:space="preserve"> </w:t>
      </w:r>
      <w:r w:rsidR="00EB7B1D">
        <w:rPr>
          <w:rFonts w:eastAsia="Calibri"/>
          <w:sz w:val="23"/>
          <w:szCs w:val="23"/>
        </w:rPr>
        <w:t>'</w:t>
      </w:r>
      <w:r w:rsidR="0044036F" w:rsidRPr="00EB7B1D">
        <w:rPr>
          <w:color w:val="242424"/>
          <w:sz w:val="23"/>
          <w:szCs w:val="23"/>
          <w:bdr w:val="none" w:sz="0" w:space="0" w:color="auto" w:frame="1"/>
        </w:rPr>
        <w:t xml:space="preserve">the amount and type of risk that an organisation is prepared to pursue, retain or take in pursuit of its strategic objectives, is key to achieving effective risk management. It represents a balance between the potential benefits of innovation and the threats that change inevitably </w:t>
      </w:r>
      <w:proofErr w:type="gramStart"/>
      <w:r w:rsidR="0044036F" w:rsidRPr="00EB7B1D">
        <w:rPr>
          <w:color w:val="242424"/>
          <w:sz w:val="23"/>
          <w:szCs w:val="23"/>
          <w:bdr w:val="none" w:sz="0" w:space="0" w:color="auto" w:frame="1"/>
        </w:rPr>
        <w:t>brings, and</w:t>
      </w:r>
      <w:proofErr w:type="gramEnd"/>
      <w:r w:rsidR="0044036F" w:rsidRPr="00EB7B1D">
        <w:rPr>
          <w:color w:val="242424"/>
          <w:sz w:val="23"/>
          <w:szCs w:val="23"/>
          <w:bdr w:val="none" w:sz="0" w:space="0" w:color="auto" w:frame="1"/>
        </w:rPr>
        <w:t xml:space="preserve"> therefore should be at the heart of an organisation’s risk management strategy</w:t>
      </w:r>
      <w:r w:rsidR="00A806BC" w:rsidRPr="00EB7B1D">
        <w:rPr>
          <w:color w:val="242424"/>
          <w:sz w:val="23"/>
          <w:szCs w:val="23"/>
          <w:bdr w:val="none" w:sz="0" w:space="0" w:color="auto" w:frame="1"/>
        </w:rPr>
        <w:t>.</w:t>
      </w:r>
      <w:r w:rsidR="00196987">
        <w:rPr>
          <w:color w:val="242424"/>
          <w:sz w:val="23"/>
          <w:szCs w:val="23"/>
          <w:bdr w:val="none" w:sz="0" w:space="0" w:color="auto" w:frame="1"/>
        </w:rPr>
        <w:t>'</w:t>
      </w:r>
    </w:p>
    <w:p w14:paraId="34E533FB" w14:textId="2C42AD71" w:rsidR="006E301E" w:rsidRPr="00EB7B1D" w:rsidRDefault="008533ED" w:rsidP="0044036F">
      <w:pPr>
        <w:pStyle w:val="xmsonormal"/>
        <w:shd w:val="clear" w:color="auto" w:fill="FFFFFF"/>
        <w:spacing w:before="0" w:beforeAutospacing="0" w:after="0" w:afterAutospacing="0"/>
        <w:jc w:val="right"/>
        <w:rPr>
          <w:rFonts w:ascii="Arial" w:hAnsi="Arial" w:cs="Arial"/>
          <w:i/>
          <w:iCs/>
          <w:color w:val="242424"/>
          <w:sz w:val="22"/>
          <w:szCs w:val="22"/>
          <w:bdr w:val="none" w:sz="0" w:space="0" w:color="auto" w:frame="1"/>
        </w:rPr>
      </w:pPr>
      <w:r w:rsidRPr="00EB7B1D">
        <w:rPr>
          <w:rFonts w:ascii="Arial" w:hAnsi="Arial" w:cs="Arial"/>
          <w:i/>
          <w:iCs/>
          <w:color w:val="242424"/>
          <w:sz w:val="22"/>
          <w:szCs w:val="22"/>
          <w:bdr w:val="none" w:sz="0" w:space="0" w:color="auto" w:frame="1"/>
        </w:rPr>
        <w:t xml:space="preserve">Good Governance Institute: </w:t>
      </w:r>
      <w:r w:rsidR="006E301E" w:rsidRPr="00EB7B1D">
        <w:rPr>
          <w:rFonts w:ascii="Arial" w:hAnsi="Arial" w:cs="Arial"/>
          <w:i/>
          <w:iCs/>
          <w:color w:val="242424"/>
          <w:sz w:val="22"/>
          <w:szCs w:val="22"/>
          <w:bdr w:val="none" w:sz="0" w:space="0" w:color="auto" w:frame="1"/>
        </w:rPr>
        <w:t xml:space="preserve">Board </w:t>
      </w:r>
      <w:r w:rsidR="00FA046F" w:rsidRPr="00EB7B1D">
        <w:rPr>
          <w:rFonts w:ascii="Arial" w:hAnsi="Arial" w:cs="Arial"/>
          <w:i/>
          <w:iCs/>
          <w:color w:val="242424"/>
          <w:sz w:val="22"/>
          <w:szCs w:val="22"/>
          <w:bdr w:val="none" w:sz="0" w:space="0" w:color="auto" w:frame="1"/>
        </w:rPr>
        <w:t>g</w:t>
      </w:r>
      <w:r w:rsidR="006E301E" w:rsidRPr="00EB7B1D">
        <w:rPr>
          <w:rFonts w:ascii="Arial" w:hAnsi="Arial" w:cs="Arial"/>
          <w:i/>
          <w:iCs/>
          <w:color w:val="242424"/>
          <w:sz w:val="22"/>
          <w:szCs w:val="22"/>
          <w:bdr w:val="none" w:sz="0" w:space="0" w:color="auto" w:frame="1"/>
        </w:rPr>
        <w:t>uidance on risk appetit</w:t>
      </w:r>
      <w:r w:rsidRPr="00EB7B1D">
        <w:rPr>
          <w:rFonts w:ascii="Arial" w:hAnsi="Arial" w:cs="Arial"/>
          <w:i/>
          <w:iCs/>
          <w:color w:val="242424"/>
          <w:sz w:val="22"/>
          <w:szCs w:val="22"/>
          <w:bdr w:val="none" w:sz="0" w:space="0" w:color="auto" w:frame="1"/>
        </w:rPr>
        <w:t>e, 2020</w:t>
      </w:r>
      <w:r w:rsidR="00EB7B1D" w:rsidRPr="00EB7B1D">
        <w:rPr>
          <w:rStyle w:val="FootnoteReference"/>
          <w:rFonts w:ascii="Arial" w:hAnsi="Arial" w:cs="Arial"/>
          <w:i/>
          <w:iCs/>
          <w:color w:val="242424"/>
          <w:sz w:val="22"/>
          <w:szCs w:val="22"/>
          <w:bdr w:val="none" w:sz="0" w:space="0" w:color="auto" w:frame="1"/>
        </w:rPr>
        <w:footnoteReference w:id="1"/>
      </w:r>
      <w:r w:rsidRPr="00EB7B1D">
        <w:rPr>
          <w:rFonts w:ascii="Arial" w:hAnsi="Arial" w:cs="Arial"/>
          <w:i/>
          <w:iCs/>
          <w:color w:val="242424"/>
          <w:sz w:val="22"/>
          <w:szCs w:val="22"/>
          <w:bdr w:val="none" w:sz="0" w:space="0" w:color="auto" w:frame="1"/>
        </w:rPr>
        <w:t xml:space="preserve">. </w:t>
      </w:r>
    </w:p>
    <w:p w14:paraId="3A2F5823" w14:textId="6AAB16F5" w:rsidR="007D37AB" w:rsidRPr="00EB7B1D" w:rsidRDefault="007D37AB" w:rsidP="0044036F">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409C9463" w14:textId="208B9326" w:rsidR="00173782" w:rsidRPr="00EB7B1D" w:rsidRDefault="00173782" w:rsidP="0044036F">
      <w:pPr>
        <w:pStyle w:val="xmsonormal"/>
        <w:shd w:val="clear" w:color="auto" w:fill="FFFFFF"/>
        <w:spacing w:before="0" w:beforeAutospacing="0" w:after="0" w:afterAutospacing="0"/>
        <w:rPr>
          <w:rFonts w:ascii="Arial" w:hAnsi="Arial" w:cs="Arial"/>
          <w:b/>
          <w:bCs/>
          <w:color w:val="242424"/>
          <w:sz w:val="22"/>
          <w:szCs w:val="22"/>
          <w:u w:val="single"/>
          <w:bdr w:val="none" w:sz="0" w:space="0" w:color="auto" w:frame="1"/>
        </w:rPr>
      </w:pPr>
      <w:r w:rsidRPr="00EB7B1D">
        <w:rPr>
          <w:rFonts w:ascii="Arial" w:hAnsi="Arial" w:cs="Arial"/>
          <w:b/>
          <w:bCs/>
          <w:color w:val="242424"/>
          <w:sz w:val="22"/>
          <w:szCs w:val="22"/>
          <w:u w:val="single"/>
          <w:bdr w:val="none" w:sz="0" w:space="0" w:color="auto" w:frame="1"/>
        </w:rPr>
        <w:t>Risk appetite</w:t>
      </w:r>
      <w:r w:rsidR="00947042" w:rsidRPr="00EB7B1D">
        <w:rPr>
          <w:rFonts w:ascii="Arial" w:hAnsi="Arial" w:cs="Arial"/>
          <w:b/>
          <w:bCs/>
          <w:color w:val="242424"/>
          <w:sz w:val="22"/>
          <w:szCs w:val="22"/>
          <w:u w:val="single"/>
          <w:bdr w:val="none" w:sz="0" w:space="0" w:color="auto" w:frame="1"/>
        </w:rPr>
        <w:t xml:space="preserve"> levels</w:t>
      </w:r>
      <w:r w:rsidRPr="00EB7B1D">
        <w:rPr>
          <w:rFonts w:ascii="Arial" w:hAnsi="Arial" w:cs="Arial"/>
          <w:b/>
          <w:bCs/>
          <w:color w:val="242424"/>
          <w:sz w:val="22"/>
          <w:szCs w:val="22"/>
          <w:u w:val="single"/>
          <w:bdr w:val="none" w:sz="0" w:space="0" w:color="auto" w:frame="1"/>
        </w:rPr>
        <w:t xml:space="preserve"> </w:t>
      </w:r>
    </w:p>
    <w:p w14:paraId="2D7513BC" w14:textId="77777777" w:rsidR="00173782" w:rsidRPr="00EB7B1D" w:rsidRDefault="00173782" w:rsidP="0044036F">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2A3E68FA" w14:textId="482ECB82" w:rsidR="007D3B31" w:rsidRPr="00EB7B1D" w:rsidRDefault="007D37AB" w:rsidP="007D3B31">
      <w:pPr>
        <w:pStyle w:val="BodyText"/>
        <w:spacing w:after="0"/>
        <w:rPr>
          <w:rFonts w:eastAsia="Calibri"/>
          <w:color w:val="000000" w:themeColor="text1"/>
          <w:sz w:val="23"/>
          <w:szCs w:val="23"/>
        </w:rPr>
      </w:pPr>
      <w:r w:rsidRPr="00EB7B1D">
        <w:rPr>
          <w:color w:val="242424"/>
          <w:sz w:val="23"/>
          <w:szCs w:val="23"/>
          <w:bdr w:val="none" w:sz="0" w:space="0" w:color="auto" w:frame="1"/>
        </w:rPr>
        <w:t xml:space="preserve">NHS </w:t>
      </w:r>
      <w:proofErr w:type="gramStart"/>
      <w:r w:rsidR="0044036F" w:rsidRPr="00EB7B1D">
        <w:rPr>
          <w:color w:val="242424"/>
          <w:sz w:val="23"/>
          <w:szCs w:val="23"/>
          <w:bdr w:val="none" w:sz="0" w:space="0" w:color="auto" w:frame="1"/>
        </w:rPr>
        <w:t>North East</w:t>
      </w:r>
      <w:proofErr w:type="gramEnd"/>
      <w:r w:rsidR="0044036F" w:rsidRPr="00EB7B1D">
        <w:rPr>
          <w:color w:val="242424"/>
          <w:sz w:val="23"/>
          <w:szCs w:val="23"/>
          <w:bdr w:val="none" w:sz="0" w:space="0" w:color="auto" w:frame="1"/>
        </w:rPr>
        <w:t xml:space="preserve"> and North Cumbria</w:t>
      </w:r>
      <w:r w:rsidRPr="00EB7B1D">
        <w:rPr>
          <w:color w:val="242424"/>
          <w:sz w:val="23"/>
          <w:szCs w:val="23"/>
          <w:bdr w:val="none" w:sz="0" w:space="0" w:color="auto" w:frame="1"/>
        </w:rPr>
        <w:t xml:space="preserve"> Integrated Care Board</w:t>
      </w:r>
      <w:r w:rsidR="008533ED" w:rsidRPr="00EB7B1D">
        <w:rPr>
          <w:color w:val="242424"/>
          <w:sz w:val="23"/>
          <w:szCs w:val="23"/>
          <w:bdr w:val="none" w:sz="0" w:space="0" w:color="auto" w:frame="1"/>
        </w:rPr>
        <w:t xml:space="preserve"> </w:t>
      </w:r>
      <w:r w:rsidR="00173782" w:rsidRPr="00EB7B1D">
        <w:rPr>
          <w:color w:val="242424"/>
          <w:sz w:val="23"/>
          <w:szCs w:val="23"/>
          <w:bdr w:val="none" w:sz="0" w:space="0" w:color="auto" w:frame="1"/>
        </w:rPr>
        <w:t xml:space="preserve">(the ICB) </w:t>
      </w:r>
      <w:r w:rsidR="00DA21C1" w:rsidRPr="00EB7B1D">
        <w:rPr>
          <w:color w:val="242424"/>
          <w:sz w:val="23"/>
          <w:szCs w:val="23"/>
          <w:bdr w:val="none" w:sz="0" w:space="0" w:color="auto" w:frame="1"/>
        </w:rPr>
        <w:t>accepts th</w:t>
      </w:r>
      <w:r w:rsidR="0082490B" w:rsidRPr="00EB7B1D">
        <w:rPr>
          <w:color w:val="242424"/>
          <w:sz w:val="23"/>
          <w:szCs w:val="23"/>
          <w:bdr w:val="none" w:sz="0" w:space="0" w:color="auto" w:frame="1"/>
        </w:rPr>
        <w:t xml:space="preserve">ere will always be an element of risk in the pursuit of </w:t>
      </w:r>
      <w:r w:rsidRPr="00EB7B1D">
        <w:rPr>
          <w:color w:val="242424"/>
          <w:sz w:val="23"/>
          <w:szCs w:val="23"/>
          <w:bdr w:val="none" w:sz="0" w:space="0" w:color="auto" w:frame="1"/>
        </w:rPr>
        <w:t xml:space="preserve">its </w:t>
      </w:r>
      <w:r w:rsidR="0082490B" w:rsidRPr="00EB7B1D">
        <w:rPr>
          <w:color w:val="242424"/>
          <w:sz w:val="23"/>
          <w:szCs w:val="23"/>
          <w:bdr w:val="none" w:sz="0" w:space="0" w:color="auto" w:frame="1"/>
        </w:rPr>
        <w:t>aims and objectives</w:t>
      </w:r>
      <w:r w:rsidR="009B1874" w:rsidRPr="00EB7B1D">
        <w:rPr>
          <w:color w:val="242424"/>
          <w:sz w:val="23"/>
          <w:szCs w:val="23"/>
          <w:bdr w:val="none" w:sz="0" w:space="0" w:color="auto" w:frame="1"/>
        </w:rPr>
        <w:t xml:space="preserve">. </w:t>
      </w:r>
      <w:r w:rsidR="007D3B31" w:rsidRPr="00EB7B1D">
        <w:rPr>
          <w:color w:val="242424"/>
          <w:sz w:val="23"/>
          <w:szCs w:val="23"/>
          <w:bdr w:val="none" w:sz="0" w:space="0" w:color="auto" w:frame="1"/>
        </w:rPr>
        <w:t>It is has determined</w:t>
      </w:r>
      <w:r w:rsidR="00833B30" w:rsidRPr="00EB7B1D">
        <w:rPr>
          <w:color w:val="242424"/>
          <w:sz w:val="23"/>
          <w:szCs w:val="23"/>
          <w:bdr w:val="none" w:sz="0" w:space="0" w:color="auto" w:frame="1"/>
        </w:rPr>
        <w:t xml:space="preserve">, </w:t>
      </w:r>
      <w:r w:rsidR="007D3B31" w:rsidRPr="00EB7B1D">
        <w:rPr>
          <w:color w:val="242424"/>
          <w:sz w:val="23"/>
          <w:szCs w:val="23"/>
          <w:bdr w:val="none" w:sz="0" w:space="0" w:color="auto" w:frame="1"/>
        </w:rPr>
        <w:t xml:space="preserve">and will continuously </w:t>
      </w:r>
      <w:r w:rsidR="007D3B31" w:rsidRPr="00EB7B1D">
        <w:rPr>
          <w:rFonts w:eastAsia="Calibri"/>
          <w:color w:val="000000" w:themeColor="text1"/>
          <w:sz w:val="23"/>
          <w:szCs w:val="23"/>
        </w:rPr>
        <w:t>assess</w:t>
      </w:r>
      <w:r w:rsidR="00833B30" w:rsidRPr="00EB7B1D">
        <w:rPr>
          <w:rFonts w:eastAsia="Calibri"/>
          <w:color w:val="000000" w:themeColor="text1"/>
          <w:sz w:val="23"/>
          <w:szCs w:val="23"/>
        </w:rPr>
        <w:t>,</w:t>
      </w:r>
      <w:r w:rsidR="007D3B31" w:rsidRPr="00EB7B1D">
        <w:rPr>
          <w:rFonts w:eastAsia="Calibri"/>
          <w:color w:val="000000" w:themeColor="text1"/>
          <w:sz w:val="23"/>
          <w:szCs w:val="23"/>
        </w:rPr>
        <w:t xml:space="preserve"> the nature and extent of the risks that the organisation is exposed to and is willing to take</w:t>
      </w:r>
      <w:r w:rsidR="003C494B">
        <w:rPr>
          <w:rFonts w:eastAsia="Calibri"/>
          <w:color w:val="000000" w:themeColor="text1"/>
          <w:sz w:val="23"/>
          <w:szCs w:val="23"/>
        </w:rPr>
        <w:t xml:space="preserve"> (its risk appetite) </w:t>
      </w:r>
      <w:r w:rsidR="00833B30" w:rsidRPr="00EB7B1D">
        <w:rPr>
          <w:rFonts w:eastAsia="Calibri"/>
          <w:color w:val="000000" w:themeColor="text1"/>
          <w:sz w:val="23"/>
          <w:szCs w:val="23"/>
        </w:rPr>
        <w:t xml:space="preserve">to achieve its objectives </w:t>
      </w:r>
      <w:r w:rsidR="007D3B31" w:rsidRPr="00EB7B1D">
        <w:rPr>
          <w:rFonts w:eastAsia="Calibri"/>
          <w:color w:val="000000" w:themeColor="text1"/>
          <w:sz w:val="23"/>
          <w:szCs w:val="23"/>
        </w:rPr>
        <w:t xml:space="preserve">and ensure that planning and decision-making reflects this assessment. </w:t>
      </w:r>
    </w:p>
    <w:p w14:paraId="040804D5" w14:textId="77777777" w:rsidR="00173782" w:rsidRPr="00EB7B1D" w:rsidRDefault="00173782" w:rsidP="007D3B31">
      <w:pPr>
        <w:pStyle w:val="BodyText"/>
        <w:spacing w:after="0"/>
        <w:rPr>
          <w:rFonts w:eastAsia="Calibri"/>
          <w:color w:val="000000" w:themeColor="text1"/>
          <w:sz w:val="23"/>
          <w:szCs w:val="23"/>
        </w:rPr>
      </w:pPr>
    </w:p>
    <w:p w14:paraId="5E46407A" w14:textId="71B181A7" w:rsidR="00173782" w:rsidRPr="00EB7B1D" w:rsidRDefault="00173782" w:rsidP="0044036F">
      <w:pPr>
        <w:pStyle w:val="xmsonormal"/>
        <w:shd w:val="clear" w:color="auto" w:fill="FFFFFF"/>
        <w:spacing w:before="0" w:beforeAutospacing="0" w:after="0" w:afterAutospacing="0"/>
        <w:rPr>
          <w:rFonts w:ascii="Arial" w:hAnsi="Arial" w:cs="Arial"/>
          <w:color w:val="242424"/>
          <w:sz w:val="23"/>
          <w:szCs w:val="23"/>
          <w:bdr w:val="none" w:sz="0" w:space="0" w:color="auto" w:frame="1"/>
        </w:rPr>
      </w:pPr>
      <w:r w:rsidRPr="00EB7B1D">
        <w:rPr>
          <w:rFonts w:ascii="Arial" w:hAnsi="Arial" w:cs="Arial"/>
          <w:sz w:val="23"/>
          <w:szCs w:val="23"/>
        </w:rPr>
        <w:t xml:space="preserve">Risk tolerance reflects the boundaries within which the executive </w:t>
      </w:r>
      <w:r w:rsidR="003C494B">
        <w:rPr>
          <w:rFonts w:ascii="Arial" w:hAnsi="Arial" w:cs="Arial"/>
          <w:sz w:val="23"/>
          <w:szCs w:val="23"/>
        </w:rPr>
        <w:t>team is</w:t>
      </w:r>
      <w:r w:rsidRPr="00EB7B1D">
        <w:rPr>
          <w:rFonts w:ascii="Arial" w:hAnsi="Arial" w:cs="Arial"/>
          <w:sz w:val="23"/>
          <w:szCs w:val="23"/>
        </w:rPr>
        <w:t xml:space="preserve"> willing to allow the </w:t>
      </w:r>
      <w:r w:rsidR="00833B30" w:rsidRPr="00EB7B1D">
        <w:rPr>
          <w:rFonts w:ascii="Arial" w:hAnsi="Arial" w:cs="Arial"/>
          <w:sz w:val="23"/>
          <w:szCs w:val="23"/>
        </w:rPr>
        <w:t>d</w:t>
      </w:r>
      <w:r w:rsidRPr="00EB7B1D">
        <w:rPr>
          <w:rFonts w:ascii="Arial" w:hAnsi="Arial" w:cs="Arial"/>
          <w:sz w:val="23"/>
          <w:szCs w:val="23"/>
        </w:rPr>
        <w:t xml:space="preserve">ay-to-day risk profile of the organisation to fluctuate while they are executing strategic </w:t>
      </w:r>
      <w:r w:rsidR="00833B30" w:rsidRPr="00EB7B1D">
        <w:rPr>
          <w:rFonts w:ascii="Arial" w:hAnsi="Arial" w:cs="Arial"/>
          <w:sz w:val="23"/>
          <w:szCs w:val="23"/>
        </w:rPr>
        <w:t xml:space="preserve">objectives </w:t>
      </w:r>
      <w:r w:rsidRPr="00EB7B1D">
        <w:rPr>
          <w:rFonts w:ascii="Arial" w:hAnsi="Arial" w:cs="Arial"/>
          <w:sz w:val="23"/>
          <w:szCs w:val="23"/>
        </w:rPr>
        <w:t xml:space="preserve">in accordance with the </w:t>
      </w:r>
      <w:r w:rsidR="00833B30" w:rsidRPr="00EB7B1D">
        <w:rPr>
          <w:rFonts w:ascii="Arial" w:hAnsi="Arial" w:cs="Arial"/>
          <w:sz w:val="23"/>
          <w:szCs w:val="23"/>
        </w:rPr>
        <w:t>agreed</w:t>
      </w:r>
      <w:r w:rsidRPr="00EB7B1D">
        <w:rPr>
          <w:rFonts w:ascii="Arial" w:hAnsi="Arial" w:cs="Arial"/>
          <w:sz w:val="23"/>
          <w:szCs w:val="23"/>
        </w:rPr>
        <w:t xml:space="preserve"> risk appetite</w:t>
      </w:r>
      <w:r w:rsidR="00833B30" w:rsidRPr="00EB7B1D">
        <w:rPr>
          <w:rFonts w:ascii="Arial" w:hAnsi="Arial" w:cs="Arial"/>
          <w:sz w:val="23"/>
          <w:szCs w:val="23"/>
        </w:rPr>
        <w:t>, in other words the residual risk</w:t>
      </w:r>
      <w:r w:rsidRPr="00EB7B1D">
        <w:rPr>
          <w:rFonts w:ascii="Arial" w:hAnsi="Arial" w:cs="Arial"/>
          <w:sz w:val="23"/>
          <w:szCs w:val="23"/>
        </w:rPr>
        <w:t>.</w:t>
      </w:r>
      <w:r w:rsidR="00833B30" w:rsidRPr="00EB7B1D">
        <w:rPr>
          <w:rFonts w:ascii="Arial" w:hAnsi="Arial" w:cs="Arial"/>
          <w:sz w:val="23"/>
          <w:szCs w:val="23"/>
        </w:rPr>
        <w:t xml:space="preserve">  </w:t>
      </w:r>
      <w:r w:rsidRPr="00EB7B1D">
        <w:rPr>
          <w:rFonts w:ascii="Arial" w:hAnsi="Arial" w:cs="Arial"/>
          <w:sz w:val="23"/>
          <w:szCs w:val="23"/>
        </w:rPr>
        <w:t xml:space="preserve">The Board </w:t>
      </w:r>
      <w:r w:rsidR="0072199B" w:rsidRPr="00EB7B1D">
        <w:rPr>
          <w:rFonts w:ascii="Arial" w:hAnsi="Arial" w:cs="Arial"/>
          <w:sz w:val="23"/>
          <w:szCs w:val="23"/>
        </w:rPr>
        <w:t xml:space="preserve">has set </w:t>
      </w:r>
      <w:r w:rsidRPr="00EB7B1D">
        <w:rPr>
          <w:rFonts w:ascii="Arial" w:hAnsi="Arial" w:cs="Arial"/>
          <w:sz w:val="23"/>
          <w:szCs w:val="23"/>
        </w:rPr>
        <w:t xml:space="preserve">specific limits </w:t>
      </w:r>
      <w:r w:rsidR="00833B30" w:rsidRPr="00EB7B1D">
        <w:rPr>
          <w:rFonts w:ascii="Arial" w:hAnsi="Arial" w:cs="Arial"/>
          <w:sz w:val="23"/>
          <w:szCs w:val="23"/>
        </w:rPr>
        <w:t xml:space="preserve">(risk ratings) </w:t>
      </w:r>
      <w:r w:rsidRPr="00EB7B1D">
        <w:rPr>
          <w:rFonts w:ascii="Arial" w:hAnsi="Arial" w:cs="Arial"/>
          <w:sz w:val="23"/>
          <w:szCs w:val="23"/>
        </w:rPr>
        <w:t xml:space="preserve">for the levels of risk </w:t>
      </w:r>
      <w:r w:rsidR="00833B30" w:rsidRPr="00EB7B1D">
        <w:rPr>
          <w:rFonts w:ascii="Arial" w:hAnsi="Arial" w:cs="Arial"/>
          <w:sz w:val="23"/>
          <w:szCs w:val="23"/>
        </w:rPr>
        <w:t xml:space="preserve">that </w:t>
      </w:r>
      <w:r w:rsidRPr="00EB7B1D">
        <w:rPr>
          <w:rFonts w:ascii="Arial" w:hAnsi="Arial" w:cs="Arial"/>
          <w:sz w:val="23"/>
          <w:szCs w:val="23"/>
        </w:rPr>
        <w:t>the organisation is able to tolerate</w:t>
      </w:r>
      <w:r w:rsidR="00947042" w:rsidRPr="00EB7B1D">
        <w:rPr>
          <w:rFonts w:ascii="Arial" w:hAnsi="Arial" w:cs="Arial"/>
          <w:sz w:val="23"/>
          <w:szCs w:val="23"/>
        </w:rPr>
        <w:t xml:space="preserve">.  </w:t>
      </w:r>
      <w:r w:rsidRPr="00EB7B1D">
        <w:rPr>
          <w:rFonts w:ascii="Arial" w:hAnsi="Arial" w:cs="Arial"/>
          <w:sz w:val="23"/>
          <w:szCs w:val="23"/>
        </w:rPr>
        <w:t>In setting these</w:t>
      </w:r>
      <w:r w:rsidR="00947042" w:rsidRPr="00EB7B1D">
        <w:rPr>
          <w:rFonts w:ascii="Arial" w:hAnsi="Arial" w:cs="Arial"/>
          <w:sz w:val="23"/>
          <w:szCs w:val="23"/>
        </w:rPr>
        <w:t xml:space="preserve">, </w:t>
      </w:r>
      <w:r w:rsidRPr="00EB7B1D">
        <w:rPr>
          <w:rFonts w:ascii="Arial" w:hAnsi="Arial" w:cs="Arial"/>
          <w:sz w:val="23"/>
          <w:szCs w:val="23"/>
        </w:rPr>
        <w:t>risk factors in both the external and internal business environments</w:t>
      </w:r>
      <w:r w:rsidR="00833B30" w:rsidRPr="00EB7B1D">
        <w:rPr>
          <w:rFonts w:ascii="Arial" w:hAnsi="Arial" w:cs="Arial"/>
          <w:sz w:val="23"/>
          <w:szCs w:val="23"/>
        </w:rPr>
        <w:t xml:space="preserve"> have been considered</w:t>
      </w:r>
      <w:r w:rsidR="0072199B" w:rsidRPr="00EB7B1D">
        <w:rPr>
          <w:rFonts w:ascii="Arial" w:hAnsi="Arial" w:cs="Arial"/>
          <w:sz w:val="23"/>
          <w:szCs w:val="23"/>
        </w:rPr>
        <w:t>.</w:t>
      </w:r>
    </w:p>
    <w:p w14:paraId="105B7868" w14:textId="2C2ECE9A" w:rsidR="00173782" w:rsidRPr="00EB7B1D" w:rsidRDefault="00173782" w:rsidP="0044036F">
      <w:pPr>
        <w:pStyle w:val="xmsonormal"/>
        <w:shd w:val="clear" w:color="auto" w:fill="FFFFFF"/>
        <w:spacing w:before="0" w:beforeAutospacing="0" w:after="0" w:afterAutospacing="0"/>
        <w:rPr>
          <w:rFonts w:ascii="Arial" w:hAnsi="Arial" w:cs="Arial"/>
          <w:color w:val="242424"/>
          <w:sz w:val="23"/>
          <w:szCs w:val="23"/>
          <w:bdr w:val="none" w:sz="0" w:space="0" w:color="auto" w:frame="1"/>
        </w:rPr>
      </w:pPr>
    </w:p>
    <w:p w14:paraId="1AB8B420" w14:textId="4EDCF443" w:rsidR="0072199B" w:rsidRPr="00EB7B1D" w:rsidRDefault="0072199B" w:rsidP="0044036F">
      <w:pPr>
        <w:pStyle w:val="xmsonormal"/>
        <w:shd w:val="clear" w:color="auto" w:fill="FFFFFF"/>
        <w:spacing w:before="0" w:beforeAutospacing="0" w:after="0" w:afterAutospacing="0"/>
        <w:rPr>
          <w:rFonts w:ascii="Arial" w:hAnsi="Arial" w:cs="Arial"/>
          <w:color w:val="242424"/>
          <w:sz w:val="23"/>
          <w:szCs w:val="23"/>
          <w:bdr w:val="none" w:sz="0" w:space="0" w:color="auto" w:frame="1"/>
        </w:rPr>
      </w:pPr>
      <w:r w:rsidRPr="00EB7B1D">
        <w:rPr>
          <w:rFonts w:ascii="Arial" w:hAnsi="Arial" w:cs="Arial"/>
          <w:color w:val="242424"/>
          <w:sz w:val="23"/>
          <w:szCs w:val="23"/>
          <w:bdr w:val="none" w:sz="0" w:space="0" w:color="auto" w:frame="1"/>
        </w:rPr>
        <w:t xml:space="preserve">The </w:t>
      </w:r>
      <w:r w:rsidR="003C494B">
        <w:rPr>
          <w:rFonts w:ascii="Arial" w:hAnsi="Arial" w:cs="Arial"/>
          <w:color w:val="242424"/>
          <w:sz w:val="23"/>
          <w:szCs w:val="23"/>
          <w:bdr w:val="none" w:sz="0" w:space="0" w:color="auto" w:frame="1"/>
        </w:rPr>
        <w:t xml:space="preserve">ICB has applied the following </w:t>
      </w:r>
      <w:r w:rsidRPr="00EB7B1D">
        <w:rPr>
          <w:rFonts w:ascii="Arial" w:hAnsi="Arial" w:cs="Arial"/>
          <w:color w:val="242424"/>
          <w:sz w:val="23"/>
          <w:szCs w:val="23"/>
          <w:bdr w:val="none" w:sz="0" w:space="0" w:color="auto" w:frame="1"/>
        </w:rPr>
        <w:t>risk appetite levels</w:t>
      </w:r>
      <w:r w:rsidR="00833B30" w:rsidRPr="00EB7B1D">
        <w:rPr>
          <w:rFonts w:ascii="Arial" w:hAnsi="Arial" w:cs="Arial"/>
          <w:color w:val="242424"/>
          <w:sz w:val="23"/>
          <w:szCs w:val="23"/>
          <w:bdr w:val="none" w:sz="0" w:space="0" w:color="auto" w:frame="1"/>
        </w:rPr>
        <w:t xml:space="preserve"> </w:t>
      </w:r>
      <w:r w:rsidR="003C494B">
        <w:rPr>
          <w:rFonts w:ascii="Arial" w:hAnsi="Arial" w:cs="Arial"/>
          <w:color w:val="242424"/>
          <w:sz w:val="23"/>
          <w:szCs w:val="23"/>
          <w:bdr w:val="none" w:sz="0" w:space="0" w:color="auto" w:frame="1"/>
        </w:rPr>
        <w:t xml:space="preserve">which </w:t>
      </w:r>
      <w:r w:rsidRPr="00EB7B1D">
        <w:rPr>
          <w:rFonts w:ascii="Arial" w:hAnsi="Arial" w:cs="Arial"/>
          <w:color w:val="242424"/>
          <w:sz w:val="23"/>
          <w:szCs w:val="23"/>
          <w:bdr w:val="none" w:sz="0" w:space="0" w:color="auto" w:frame="1"/>
        </w:rPr>
        <w:t>are</w:t>
      </w:r>
      <w:r w:rsidR="00EB7B1D" w:rsidRPr="00EB7B1D">
        <w:rPr>
          <w:rFonts w:ascii="Arial" w:hAnsi="Arial" w:cs="Arial"/>
          <w:color w:val="242424"/>
          <w:sz w:val="23"/>
          <w:szCs w:val="23"/>
          <w:bdr w:val="none" w:sz="0" w:space="0" w:color="auto" w:frame="1"/>
        </w:rPr>
        <w:t xml:space="preserve"> based </w:t>
      </w:r>
      <w:r w:rsidR="003C494B">
        <w:rPr>
          <w:rFonts w:ascii="Arial" w:hAnsi="Arial" w:cs="Arial"/>
          <w:color w:val="242424"/>
          <w:sz w:val="23"/>
          <w:szCs w:val="23"/>
          <w:bdr w:val="none" w:sz="0" w:space="0" w:color="auto" w:frame="1"/>
        </w:rPr>
        <w:t xml:space="preserve">on </w:t>
      </w:r>
      <w:r w:rsidR="00EB7B1D" w:rsidRPr="00EB7B1D">
        <w:rPr>
          <w:rFonts w:ascii="Arial" w:hAnsi="Arial" w:cs="Arial"/>
          <w:color w:val="242424"/>
          <w:sz w:val="23"/>
          <w:szCs w:val="23"/>
          <w:bdr w:val="none" w:sz="0" w:space="0" w:color="auto" w:frame="1"/>
        </w:rPr>
        <w:t>the UK Government's The Orange Book, Management of Risk – Principles and Concepts</w:t>
      </w:r>
      <w:r w:rsidR="00EB7B1D" w:rsidRPr="00EB7B1D">
        <w:rPr>
          <w:rStyle w:val="FootnoteReference"/>
          <w:rFonts w:ascii="Arial" w:hAnsi="Arial" w:cs="Arial"/>
          <w:color w:val="242424"/>
          <w:sz w:val="23"/>
          <w:szCs w:val="23"/>
          <w:bdr w:val="none" w:sz="0" w:space="0" w:color="auto" w:frame="1"/>
        </w:rPr>
        <w:footnoteReference w:id="2"/>
      </w:r>
      <w:r w:rsidR="00EB7B1D" w:rsidRPr="00EB7B1D">
        <w:rPr>
          <w:rFonts w:ascii="Arial" w:hAnsi="Arial" w:cs="Arial"/>
          <w:color w:val="242424"/>
          <w:sz w:val="23"/>
          <w:szCs w:val="23"/>
          <w:bdr w:val="none" w:sz="0" w:space="0" w:color="auto" w:frame="1"/>
        </w:rPr>
        <w:t xml:space="preserve"> and its supporting Risk Appetite Guidance Note</w:t>
      </w:r>
      <w:r w:rsidR="00196987">
        <w:rPr>
          <w:rFonts w:ascii="Arial" w:hAnsi="Arial" w:cs="Arial"/>
          <w:color w:val="242424"/>
          <w:sz w:val="23"/>
          <w:szCs w:val="23"/>
          <w:bdr w:val="none" w:sz="0" w:space="0" w:color="auto" w:frame="1"/>
        </w:rPr>
        <w:t>, 2021</w:t>
      </w:r>
      <w:r w:rsidR="00EB7B1D" w:rsidRPr="00EB7B1D">
        <w:rPr>
          <w:rStyle w:val="FootnoteReference"/>
          <w:rFonts w:ascii="Arial" w:hAnsi="Arial" w:cs="Arial"/>
          <w:color w:val="242424"/>
          <w:sz w:val="23"/>
          <w:szCs w:val="23"/>
          <w:bdr w:val="none" w:sz="0" w:space="0" w:color="auto" w:frame="1"/>
        </w:rPr>
        <w:footnoteReference w:id="3"/>
      </w:r>
      <w:r w:rsidRPr="00EB7B1D">
        <w:rPr>
          <w:rFonts w:ascii="Arial" w:hAnsi="Arial" w:cs="Arial"/>
          <w:color w:val="242424"/>
          <w:sz w:val="23"/>
          <w:szCs w:val="23"/>
          <w:bdr w:val="none" w:sz="0" w:space="0" w:color="auto" w:frame="1"/>
        </w:rPr>
        <w:t xml:space="preserve">: </w:t>
      </w:r>
    </w:p>
    <w:p w14:paraId="04B6E49A" w14:textId="77777777" w:rsidR="00947042" w:rsidRPr="00EB7B1D" w:rsidRDefault="00947042" w:rsidP="0044036F">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tbl>
      <w:tblPr>
        <w:tblW w:w="9571" w:type="dxa"/>
        <w:tblLook w:val="04A0" w:firstRow="1" w:lastRow="0" w:firstColumn="1" w:lastColumn="0" w:noHBand="0" w:noVBand="1"/>
      </w:tblPr>
      <w:tblGrid>
        <w:gridCol w:w="1980"/>
        <w:gridCol w:w="7591"/>
      </w:tblGrid>
      <w:tr w:rsidR="00A11DB9" w:rsidRPr="008F59C1" w14:paraId="12DCE5FC" w14:textId="77777777" w:rsidTr="009B1874">
        <w:trPr>
          <w:trHeight w:val="300"/>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0CAC0C" w14:textId="77777777" w:rsidR="00A11DB9" w:rsidRPr="0046201D" w:rsidRDefault="00A11DB9" w:rsidP="0046201D">
            <w:pPr>
              <w:spacing w:after="0" w:line="240" w:lineRule="auto"/>
              <w:jc w:val="center"/>
              <w:rPr>
                <w:rFonts w:eastAsia="Times New Roman"/>
                <w:b/>
                <w:bCs/>
                <w:sz w:val="20"/>
                <w:szCs w:val="20"/>
                <w:lang w:eastAsia="en-GB"/>
              </w:rPr>
            </w:pPr>
            <w:r w:rsidRPr="0046201D">
              <w:rPr>
                <w:rFonts w:eastAsia="Times New Roman"/>
                <w:b/>
                <w:bCs/>
                <w:sz w:val="20"/>
                <w:szCs w:val="20"/>
                <w:lang w:eastAsia="en-GB"/>
              </w:rPr>
              <w:t>Appetite level</w:t>
            </w:r>
          </w:p>
        </w:tc>
        <w:tc>
          <w:tcPr>
            <w:tcW w:w="7591" w:type="dxa"/>
            <w:tcBorders>
              <w:top w:val="single" w:sz="4" w:space="0" w:color="auto"/>
              <w:left w:val="nil"/>
              <w:bottom w:val="single" w:sz="4" w:space="0" w:color="auto"/>
              <w:right w:val="single" w:sz="4" w:space="0" w:color="000000"/>
            </w:tcBorders>
            <w:shd w:val="clear" w:color="auto" w:fill="auto"/>
            <w:noWrap/>
            <w:vAlign w:val="center"/>
            <w:hideMark/>
          </w:tcPr>
          <w:p w14:paraId="6231281E" w14:textId="77777777" w:rsidR="00A11DB9" w:rsidRPr="008F59C1" w:rsidRDefault="00A11DB9" w:rsidP="00A11DB9">
            <w:pPr>
              <w:spacing w:after="0" w:line="240" w:lineRule="auto"/>
              <w:rPr>
                <w:rFonts w:eastAsia="Times New Roman"/>
                <w:b/>
                <w:bCs/>
                <w:color w:val="000000"/>
                <w:sz w:val="20"/>
                <w:szCs w:val="20"/>
                <w:lang w:eastAsia="en-GB"/>
              </w:rPr>
            </w:pPr>
            <w:r w:rsidRPr="008F59C1">
              <w:rPr>
                <w:rFonts w:eastAsia="Times New Roman"/>
                <w:b/>
                <w:bCs/>
                <w:color w:val="000000"/>
                <w:sz w:val="20"/>
                <w:szCs w:val="20"/>
                <w:lang w:eastAsia="en-GB"/>
              </w:rPr>
              <w:t>Definition</w:t>
            </w:r>
          </w:p>
        </w:tc>
      </w:tr>
      <w:tr w:rsidR="00A11DB9" w:rsidRPr="008F59C1" w14:paraId="42B6357C" w14:textId="77777777" w:rsidTr="0046201D">
        <w:trPr>
          <w:trHeight w:val="465"/>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6FBB48" w14:textId="7BEEA0DE" w:rsidR="00A11DB9" w:rsidRPr="0046201D" w:rsidRDefault="00A11DB9" w:rsidP="0046201D">
            <w:pPr>
              <w:spacing w:after="0" w:line="240" w:lineRule="auto"/>
              <w:jc w:val="center"/>
              <w:rPr>
                <w:rFonts w:eastAsia="Times New Roman"/>
                <w:b/>
                <w:bCs/>
                <w:sz w:val="20"/>
                <w:szCs w:val="20"/>
                <w:lang w:eastAsia="en-GB"/>
              </w:rPr>
            </w:pPr>
            <w:r w:rsidRPr="0046201D">
              <w:rPr>
                <w:rFonts w:eastAsia="Times New Roman"/>
                <w:b/>
                <w:bCs/>
                <w:sz w:val="20"/>
                <w:szCs w:val="20"/>
                <w:lang w:eastAsia="en-GB"/>
              </w:rPr>
              <w:t>Av</w:t>
            </w:r>
            <w:r w:rsidR="00951077" w:rsidRPr="0046201D">
              <w:rPr>
                <w:rFonts w:eastAsia="Times New Roman"/>
                <w:b/>
                <w:bCs/>
                <w:sz w:val="20"/>
                <w:szCs w:val="20"/>
                <w:lang w:eastAsia="en-GB"/>
              </w:rPr>
              <w:t>erse</w:t>
            </w:r>
          </w:p>
        </w:tc>
        <w:tc>
          <w:tcPr>
            <w:tcW w:w="7591" w:type="dxa"/>
            <w:tcBorders>
              <w:top w:val="single" w:sz="4" w:space="0" w:color="auto"/>
              <w:left w:val="nil"/>
              <w:bottom w:val="single" w:sz="4" w:space="0" w:color="auto"/>
              <w:right w:val="single" w:sz="4" w:space="0" w:color="000000"/>
            </w:tcBorders>
            <w:shd w:val="clear" w:color="auto" w:fill="auto"/>
            <w:noWrap/>
            <w:vAlign w:val="center"/>
            <w:hideMark/>
          </w:tcPr>
          <w:p w14:paraId="3C707E9E" w14:textId="5B221718" w:rsidR="00A11DB9" w:rsidRPr="008F59C1" w:rsidRDefault="00FC37E7" w:rsidP="00A11DB9">
            <w:pPr>
              <w:spacing w:after="0" w:line="240" w:lineRule="auto"/>
              <w:rPr>
                <w:rFonts w:eastAsia="Times New Roman"/>
                <w:color w:val="000000"/>
                <w:sz w:val="20"/>
                <w:szCs w:val="20"/>
                <w:lang w:eastAsia="en-GB"/>
              </w:rPr>
            </w:pPr>
            <w:r w:rsidRPr="00FC37E7">
              <w:rPr>
                <w:rFonts w:eastAsia="Times New Roman"/>
                <w:color w:val="000000"/>
                <w:sz w:val="20"/>
                <w:szCs w:val="20"/>
                <w:lang w:eastAsia="en-GB"/>
              </w:rPr>
              <w:t>All precautions and mitigations in place with very low appetite for risk (likelihood of risk is rare but not impossible).</w:t>
            </w:r>
          </w:p>
        </w:tc>
      </w:tr>
      <w:tr w:rsidR="00A11DB9" w:rsidRPr="008F59C1" w14:paraId="7FDC1583" w14:textId="77777777" w:rsidTr="0046201D">
        <w:trPr>
          <w:trHeight w:val="615"/>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EB7D4" w14:textId="77777777" w:rsidR="00A11DB9" w:rsidRPr="0046201D" w:rsidRDefault="00A11DB9" w:rsidP="0046201D">
            <w:pPr>
              <w:spacing w:after="0" w:line="240" w:lineRule="auto"/>
              <w:jc w:val="center"/>
              <w:rPr>
                <w:rFonts w:eastAsia="Times New Roman"/>
                <w:b/>
                <w:bCs/>
                <w:sz w:val="20"/>
                <w:szCs w:val="20"/>
                <w:lang w:eastAsia="en-GB"/>
              </w:rPr>
            </w:pPr>
            <w:r w:rsidRPr="0046201D">
              <w:rPr>
                <w:rFonts w:eastAsia="Times New Roman"/>
                <w:b/>
                <w:bCs/>
                <w:sz w:val="20"/>
                <w:szCs w:val="20"/>
                <w:lang w:eastAsia="en-GB"/>
              </w:rPr>
              <w:t>Cautious</w:t>
            </w:r>
          </w:p>
        </w:tc>
        <w:tc>
          <w:tcPr>
            <w:tcW w:w="7591" w:type="dxa"/>
            <w:tcBorders>
              <w:top w:val="single" w:sz="4" w:space="0" w:color="auto"/>
              <w:left w:val="nil"/>
              <w:bottom w:val="single" w:sz="4" w:space="0" w:color="auto"/>
              <w:right w:val="single" w:sz="4" w:space="0" w:color="000000"/>
            </w:tcBorders>
            <w:shd w:val="clear" w:color="auto" w:fill="auto"/>
            <w:vAlign w:val="center"/>
            <w:hideMark/>
          </w:tcPr>
          <w:p w14:paraId="124F1B6E" w14:textId="45DCE0AA" w:rsidR="00A11DB9" w:rsidRPr="008F59C1" w:rsidRDefault="00A11DB9" w:rsidP="00A11DB9">
            <w:pPr>
              <w:spacing w:after="0" w:line="240" w:lineRule="auto"/>
              <w:rPr>
                <w:rFonts w:eastAsia="Times New Roman"/>
                <w:color w:val="000000"/>
                <w:sz w:val="20"/>
                <w:szCs w:val="20"/>
                <w:lang w:eastAsia="en-GB"/>
              </w:rPr>
            </w:pPr>
            <w:r w:rsidRPr="008F59C1">
              <w:rPr>
                <w:rFonts w:eastAsia="Times New Roman"/>
                <w:color w:val="000000"/>
                <w:sz w:val="20"/>
                <w:szCs w:val="20"/>
                <w:lang w:eastAsia="en-GB"/>
              </w:rPr>
              <w:t xml:space="preserve">Preference for safe delivery options that have a low degree of inherent </w:t>
            </w:r>
            <w:r w:rsidR="003C494B" w:rsidRPr="008F59C1">
              <w:rPr>
                <w:rFonts w:eastAsia="Times New Roman"/>
                <w:color w:val="000000"/>
                <w:sz w:val="20"/>
                <w:szCs w:val="20"/>
                <w:lang w:eastAsia="en-GB"/>
              </w:rPr>
              <w:t>risk,</w:t>
            </w:r>
            <w:r w:rsidRPr="008F59C1">
              <w:rPr>
                <w:rFonts w:eastAsia="Times New Roman"/>
                <w:color w:val="000000"/>
                <w:sz w:val="20"/>
                <w:szCs w:val="20"/>
                <w:lang w:eastAsia="en-GB"/>
              </w:rPr>
              <w:t xml:space="preserve"> and which may only have limited potential for reward</w:t>
            </w:r>
            <w:r w:rsidR="000712F8">
              <w:rPr>
                <w:rFonts w:eastAsia="Times New Roman"/>
                <w:color w:val="000000"/>
                <w:sz w:val="20"/>
                <w:szCs w:val="20"/>
                <w:lang w:eastAsia="en-GB"/>
              </w:rPr>
              <w:t>.</w:t>
            </w:r>
            <w:r w:rsidRPr="008F59C1">
              <w:rPr>
                <w:rFonts w:eastAsia="Times New Roman"/>
                <w:color w:val="000000"/>
                <w:sz w:val="20"/>
                <w:szCs w:val="20"/>
                <w:lang w:eastAsia="en-GB"/>
              </w:rPr>
              <w:t xml:space="preserve"> </w:t>
            </w:r>
          </w:p>
        </w:tc>
      </w:tr>
      <w:tr w:rsidR="00A11DB9" w:rsidRPr="008F59C1" w14:paraId="2266F1FC" w14:textId="77777777" w:rsidTr="0046201D">
        <w:trPr>
          <w:trHeight w:val="645"/>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23887" w14:textId="77777777" w:rsidR="00A11DB9" w:rsidRPr="0046201D" w:rsidRDefault="00A11DB9" w:rsidP="0046201D">
            <w:pPr>
              <w:spacing w:after="0" w:line="240" w:lineRule="auto"/>
              <w:jc w:val="center"/>
              <w:rPr>
                <w:rFonts w:eastAsia="Times New Roman"/>
                <w:b/>
                <w:bCs/>
                <w:sz w:val="20"/>
                <w:szCs w:val="20"/>
                <w:lang w:eastAsia="en-GB"/>
              </w:rPr>
            </w:pPr>
            <w:r w:rsidRPr="0046201D">
              <w:rPr>
                <w:rFonts w:eastAsia="Times New Roman"/>
                <w:b/>
                <w:bCs/>
                <w:sz w:val="20"/>
                <w:szCs w:val="20"/>
                <w:lang w:eastAsia="en-GB"/>
              </w:rPr>
              <w:t>Balanced</w:t>
            </w:r>
          </w:p>
        </w:tc>
        <w:tc>
          <w:tcPr>
            <w:tcW w:w="7591" w:type="dxa"/>
            <w:tcBorders>
              <w:top w:val="single" w:sz="4" w:space="0" w:color="auto"/>
              <w:left w:val="nil"/>
              <w:bottom w:val="single" w:sz="4" w:space="0" w:color="auto"/>
              <w:right w:val="single" w:sz="4" w:space="0" w:color="000000"/>
            </w:tcBorders>
            <w:shd w:val="clear" w:color="auto" w:fill="auto"/>
            <w:vAlign w:val="center"/>
            <w:hideMark/>
          </w:tcPr>
          <w:p w14:paraId="56AF6949" w14:textId="45A3B7A5" w:rsidR="00A11DB9" w:rsidRPr="008F59C1" w:rsidRDefault="006330D5" w:rsidP="00A11DB9">
            <w:pPr>
              <w:spacing w:after="0" w:line="240" w:lineRule="auto"/>
              <w:rPr>
                <w:rFonts w:eastAsia="Times New Roman"/>
                <w:color w:val="000000"/>
                <w:sz w:val="20"/>
                <w:szCs w:val="20"/>
                <w:lang w:eastAsia="en-GB"/>
              </w:rPr>
            </w:pPr>
            <w:r w:rsidRPr="008F59C1">
              <w:rPr>
                <w:rFonts w:eastAsia="Times New Roman"/>
                <w:color w:val="000000"/>
                <w:sz w:val="20"/>
                <w:szCs w:val="20"/>
                <w:lang w:eastAsia="en-GB"/>
              </w:rPr>
              <w:t>Accepting that there is a degree of risk in activities and prepared to put resource in place to monitor and mitigate risks where the benefits of the activities outweigh the risk</w:t>
            </w:r>
            <w:r w:rsidR="000712F8">
              <w:rPr>
                <w:rFonts w:eastAsia="Times New Roman"/>
                <w:color w:val="000000"/>
                <w:sz w:val="20"/>
                <w:szCs w:val="20"/>
                <w:lang w:eastAsia="en-GB"/>
              </w:rPr>
              <w:t>.</w:t>
            </w:r>
          </w:p>
        </w:tc>
      </w:tr>
      <w:tr w:rsidR="00A11DB9" w:rsidRPr="008F59C1" w14:paraId="7972BF7E" w14:textId="77777777" w:rsidTr="0046201D">
        <w:trPr>
          <w:trHeight w:val="585"/>
        </w:trPr>
        <w:tc>
          <w:tcPr>
            <w:tcW w:w="19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E0991" w14:textId="77777777" w:rsidR="00A11DB9" w:rsidRPr="0046201D" w:rsidRDefault="00A11DB9" w:rsidP="0046201D">
            <w:pPr>
              <w:spacing w:after="0" w:line="240" w:lineRule="auto"/>
              <w:jc w:val="center"/>
              <w:rPr>
                <w:rFonts w:eastAsia="Times New Roman"/>
                <w:b/>
                <w:bCs/>
                <w:sz w:val="20"/>
                <w:szCs w:val="20"/>
                <w:lang w:eastAsia="en-GB"/>
              </w:rPr>
            </w:pPr>
            <w:r w:rsidRPr="0046201D">
              <w:rPr>
                <w:rFonts w:eastAsia="Times New Roman"/>
                <w:b/>
                <w:bCs/>
                <w:sz w:val="20"/>
                <w:szCs w:val="20"/>
                <w:lang w:eastAsia="en-GB"/>
              </w:rPr>
              <w:t>Open</w:t>
            </w:r>
          </w:p>
        </w:tc>
        <w:tc>
          <w:tcPr>
            <w:tcW w:w="7591" w:type="dxa"/>
            <w:tcBorders>
              <w:top w:val="single" w:sz="4" w:space="0" w:color="auto"/>
              <w:left w:val="nil"/>
              <w:bottom w:val="single" w:sz="4" w:space="0" w:color="auto"/>
              <w:right w:val="single" w:sz="4" w:space="0" w:color="000000"/>
            </w:tcBorders>
            <w:shd w:val="clear" w:color="auto" w:fill="auto"/>
            <w:vAlign w:val="center"/>
            <w:hideMark/>
          </w:tcPr>
          <w:p w14:paraId="4CA1E248" w14:textId="34C8FF45" w:rsidR="00A11DB9" w:rsidRPr="008F59C1" w:rsidRDefault="00A11DB9" w:rsidP="00A11DB9">
            <w:pPr>
              <w:spacing w:after="0" w:line="240" w:lineRule="auto"/>
              <w:rPr>
                <w:rFonts w:eastAsia="Times New Roman"/>
                <w:color w:val="000000"/>
                <w:sz w:val="20"/>
                <w:szCs w:val="20"/>
                <w:lang w:eastAsia="en-GB"/>
              </w:rPr>
            </w:pPr>
            <w:r w:rsidRPr="008F59C1">
              <w:rPr>
                <w:rFonts w:eastAsia="Times New Roman"/>
                <w:color w:val="000000"/>
                <w:sz w:val="20"/>
                <w:szCs w:val="20"/>
                <w:lang w:eastAsia="en-GB"/>
              </w:rPr>
              <w:t>Receptive to activities which carry a degree of risk where these will result in successful delivery and measurable improvements while also providing value for money</w:t>
            </w:r>
            <w:r w:rsidR="000712F8">
              <w:rPr>
                <w:rFonts w:eastAsia="Times New Roman"/>
                <w:color w:val="000000"/>
                <w:sz w:val="20"/>
                <w:szCs w:val="20"/>
                <w:lang w:eastAsia="en-GB"/>
              </w:rPr>
              <w:t>.</w:t>
            </w:r>
          </w:p>
        </w:tc>
      </w:tr>
    </w:tbl>
    <w:p w14:paraId="0F8072E3" w14:textId="30611862" w:rsidR="00A11DB9" w:rsidRPr="00EB7B1D" w:rsidRDefault="00A11DB9" w:rsidP="0044036F">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3EA3123A" w14:textId="4D5480EA" w:rsidR="00C461B3" w:rsidRPr="00EB7B1D" w:rsidRDefault="00173782" w:rsidP="0044036F">
      <w:pPr>
        <w:pStyle w:val="xmsonormal"/>
        <w:shd w:val="clear" w:color="auto" w:fill="FFFFFF"/>
        <w:spacing w:before="0" w:beforeAutospacing="0" w:after="0" w:afterAutospacing="0"/>
        <w:rPr>
          <w:rFonts w:ascii="Arial" w:hAnsi="Arial" w:cs="Arial"/>
          <w:color w:val="242424"/>
          <w:sz w:val="23"/>
          <w:szCs w:val="23"/>
          <w:bdr w:val="none" w:sz="0" w:space="0" w:color="auto" w:frame="1"/>
        </w:rPr>
      </w:pPr>
      <w:r w:rsidRPr="00EB7B1D">
        <w:rPr>
          <w:rFonts w:ascii="Arial" w:hAnsi="Arial" w:cs="Arial"/>
          <w:color w:val="242424"/>
          <w:sz w:val="23"/>
          <w:szCs w:val="23"/>
          <w:bdr w:val="none" w:sz="0" w:space="0" w:color="auto" w:frame="1"/>
        </w:rPr>
        <w:t>The appetite level inform</w:t>
      </w:r>
      <w:r w:rsidR="00833B30" w:rsidRPr="00EB7B1D">
        <w:rPr>
          <w:rFonts w:ascii="Arial" w:hAnsi="Arial" w:cs="Arial"/>
          <w:color w:val="242424"/>
          <w:sz w:val="23"/>
          <w:szCs w:val="23"/>
          <w:bdr w:val="none" w:sz="0" w:space="0" w:color="auto" w:frame="1"/>
        </w:rPr>
        <w:t>s</w:t>
      </w:r>
      <w:r w:rsidRPr="00EB7B1D">
        <w:rPr>
          <w:rFonts w:ascii="Arial" w:hAnsi="Arial" w:cs="Arial"/>
          <w:color w:val="242424"/>
          <w:sz w:val="23"/>
          <w:szCs w:val="23"/>
          <w:bdr w:val="none" w:sz="0" w:space="0" w:color="auto" w:frame="1"/>
        </w:rPr>
        <w:t xml:space="preserve"> the target or acceptable level of risk to the organisation</w:t>
      </w:r>
      <w:r w:rsidR="00833B30" w:rsidRPr="00EB7B1D">
        <w:rPr>
          <w:rFonts w:ascii="Arial" w:hAnsi="Arial" w:cs="Arial"/>
          <w:color w:val="242424"/>
          <w:sz w:val="23"/>
          <w:szCs w:val="23"/>
          <w:bdr w:val="none" w:sz="0" w:space="0" w:color="auto" w:frame="1"/>
        </w:rPr>
        <w:t>.  W</w:t>
      </w:r>
      <w:r w:rsidRPr="00EB7B1D">
        <w:rPr>
          <w:rFonts w:ascii="Arial" w:eastAsia="Calibri" w:hAnsi="Arial" w:cs="Arial"/>
          <w:sz w:val="23"/>
          <w:szCs w:val="23"/>
          <w:lang w:eastAsia="en-US"/>
        </w:rPr>
        <w:t>here risks cannot reasonably be avoided, every effort will be made to mitigate the remaining risk</w:t>
      </w:r>
      <w:r w:rsidR="00833B30" w:rsidRPr="00EB7B1D">
        <w:rPr>
          <w:rFonts w:ascii="Arial" w:eastAsia="Calibri" w:hAnsi="Arial" w:cs="Arial"/>
          <w:sz w:val="23"/>
          <w:szCs w:val="23"/>
          <w:lang w:eastAsia="en-US"/>
        </w:rPr>
        <w:t xml:space="preserve"> </w:t>
      </w:r>
      <w:r w:rsidRPr="00EB7B1D">
        <w:rPr>
          <w:rFonts w:ascii="Arial" w:eastAsia="Calibri" w:hAnsi="Arial" w:cs="Arial"/>
          <w:sz w:val="23"/>
          <w:szCs w:val="23"/>
          <w:lang w:eastAsia="en-US"/>
        </w:rPr>
        <w:t xml:space="preserve">to the lowest possible level </w:t>
      </w:r>
      <w:r w:rsidR="00833B30" w:rsidRPr="00EB7B1D">
        <w:rPr>
          <w:rFonts w:ascii="Arial" w:eastAsia="Calibri" w:hAnsi="Arial" w:cs="Arial"/>
          <w:sz w:val="23"/>
          <w:szCs w:val="23"/>
          <w:lang w:eastAsia="en-US"/>
        </w:rPr>
        <w:t xml:space="preserve">that is </w:t>
      </w:r>
      <w:r w:rsidRPr="00EB7B1D">
        <w:rPr>
          <w:rFonts w:ascii="Arial" w:eastAsia="Calibri" w:hAnsi="Arial" w:cs="Arial"/>
          <w:sz w:val="23"/>
          <w:szCs w:val="23"/>
          <w:lang w:eastAsia="en-US"/>
        </w:rPr>
        <w:t>reasonably practicable.</w:t>
      </w:r>
    </w:p>
    <w:p w14:paraId="2A7ED1F7" w14:textId="77777777" w:rsidR="00947042" w:rsidRPr="00EB7B1D" w:rsidRDefault="00947042" w:rsidP="0044036F">
      <w:pPr>
        <w:pStyle w:val="xmsonormal"/>
        <w:shd w:val="clear" w:color="auto" w:fill="FFFFFF"/>
        <w:spacing w:before="0" w:beforeAutospacing="0" w:after="0" w:afterAutospacing="0"/>
        <w:rPr>
          <w:rFonts w:ascii="Arial" w:hAnsi="Arial" w:cs="Arial"/>
          <w:color w:val="242424"/>
          <w:sz w:val="23"/>
          <w:szCs w:val="23"/>
          <w:bdr w:val="none" w:sz="0" w:space="0" w:color="auto" w:frame="1"/>
        </w:rPr>
      </w:pPr>
    </w:p>
    <w:p w14:paraId="77FDF1C2" w14:textId="75ACD906" w:rsidR="0044036F" w:rsidRPr="00EB7B1D" w:rsidRDefault="00833B30" w:rsidP="0044036F">
      <w:pPr>
        <w:pStyle w:val="xmsonormal"/>
        <w:shd w:val="clear" w:color="auto" w:fill="FFFFFF"/>
        <w:spacing w:before="0" w:beforeAutospacing="0" w:after="0" w:afterAutospacing="0"/>
        <w:rPr>
          <w:rFonts w:ascii="Arial" w:hAnsi="Arial" w:cs="Arial"/>
          <w:color w:val="242424"/>
          <w:sz w:val="23"/>
          <w:szCs w:val="23"/>
          <w:bdr w:val="none" w:sz="0" w:space="0" w:color="auto" w:frame="1"/>
        </w:rPr>
      </w:pPr>
      <w:r w:rsidRPr="00EB7B1D">
        <w:rPr>
          <w:rFonts w:ascii="Arial" w:hAnsi="Arial" w:cs="Arial"/>
          <w:color w:val="242424"/>
          <w:sz w:val="23"/>
          <w:szCs w:val="23"/>
          <w:bdr w:val="none" w:sz="0" w:space="0" w:color="auto" w:frame="1"/>
        </w:rPr>
        <w:t xml:space="preserve">As a minimum, the </w:t>
      </w:r>
      <w:r w:rsidR="007D37AB" w:rsidRPr="00EB7B1D">
        <w:rPr>
          <w:rFonts w:ascii="Arial" w:hAnsi="Arial" w:cs="Arial"/>
          <w:color w:val="242424"/>
          <w:sz w:val="23"/>
          <w:szCs w:val="23"/>
          <w:bdr w:val="none" w:sz="0" w:space="0" w:color="auto" w:frame="1"/>
        </w:rPr>
        <w:t>ICB</w:t>
      </w:r>
      <w:r w:rsidR="0044036F" w:rsidRPr="00EB7B1D">
        <w:rPr>
          <w:rFonts w:ascii="Arial" w:hAnsi="Arial" w:cs="Arial"/>
          <w:color w:val="242424"/>
          <w:sz w:val="23"/>
          <w:szCs w:val="23"/>
          <w:bdr w:val="none" w:sz="0" w:space="0" w:color="auto" w:frame="1"/>
        </w:rPr>
        <w:t xml:space="preserve"> will aim to operate organisational activities at the </w:t>
      </w:r>
      <w:r w:rsidR="00947042" w:rsidRPr="00EB7B1D">
        <w:rPr>
          <w:rFonts w:ascii="Arial" w:hAnsi="Arial" w:cs="Arial"/>
          <w:color w:val="242424"/>
          <w:sz w:val="23"/>
          <w:szCs w:val="23"/>
          <w:bdr w:val="none" w:sz="0" w:space="0" w:color="auto" w:frame="1"/>
        </w:rPr>
        <w:t xml:space="preserve">defined </w:t>
      </w:r>
      <w:r w:rsidR="0044036F" w:rsidRPr="00EB7B1D">
        <w:rPr>
          <w:rFonts w:ascii="Arial" w:hAnsi="Arial" w:cs="Arial"/>
          <w:color w:val="242424"/>
          <w:sz w:val="23"/>
          <w:szCs w:val="23"/>
          <w:bdr w:val="none" w:sz="0" w:space="0" w:color="auto" w:frame="1"/>
        </w:rPr>
        <w:t xml:space="preserve">levels. </w:t>
      </w:r>
      <w:r w:rsidR="00173782" w:rsidRPr="00EB7B1D">
        <w:rPr>
          <w:rFonts w:ascii="Arial" w:hAnsi="Arial" w:cs="Arial"/>
          <w:color w:val="242424"/>
          <w:sz w:val="23"/>
          <w:szCs w:val="23"/>
          <w:bdr w:val="none" w:sz="0" w:space="0" w:color="auto" w:frame="1"/>
        </w:rPr>
        <w:t>W</w:t>
      </w:r>
      <w:r w:rsidR="0044036F" w:rsidRPr="00EB7B1D">
        <w:rPr>
          <w:rFonts w:ascii="Arial" w:hAnsi="Arial" w:cs="Arial"/>
          <w:color w:val="242424"/>
          <w:sz w:val="23"/>
          <w:szCs w:val="23"/>
          <w:bdr w:val="none" w:sz="0" w:space="0" w:color="auto" w:frame="1"/>
        </w:rPr>
        <w:t>here activities are projected to exceed the defined levels, th</w:t>
      </w:r>
      <w:r w:rsidR="00196987">
        <w:rPr>
          <w:rFonts w:ascii="Arial" w:hAnsi="Arial" w:cs="Arial"/>
          <w:color w:val="242424"/>
          <w:sz w:val="23"/>
          <w:szCs w:val="23"/>
          <w:bdr w:val="none" w:sz="0" w:space="0" w:color="auto" w:frame="1"/>
        </w:rPr>
        <w:t>ese</w:t>
      </w:r>
      <w:r w:rsidR="0044036F" w:rsidRPr="00EB7B1D">
        <w:rPr>
          <w:rFonts w:ascii="Arial" w:hAnsi="Arial" w:cs="Arial"/>
          <w:color w:val="242424"/>
          <w:sz w:val="23"/>
          <w:szCs w:val="23"/>
          <w:bdr w:val="none" w:sz="0" w:space="0" w:color="auto" w:frame="1"/>
        </w:rPr>
        <w:t xml:space="preserve"> </w:t>
      </w:r>
      <w:r w:rsidRPr="00EB7B1D">
        <w:rPr>
          <w:rFonts w:ascii="Arial" w:hAnsi="Arial" w:cs="Arial"/>
          <w:color w:val="242424"/>
          <w:sz w:val="23"/>
          <w:szCs w:val="23"/>
          <w:bdr w:val="none" w:sz="0" w:space="0" w:color="auto" w:frame="1"/>
        </w:rPr>
        <w:t xml:space="preserve">will </w:t>
      </w:r>
      <w:r w:rsidR="0044036F" w:rsidRPr="00EB7B1D">
        <w:rPr>
          <w:rFonts w:ascii="Arial" w:hAnsi="Arial" w:cs="Arial"/>
          <w:color w:val="242424"/>
          <w:sz w:val="23"/>
          <w:szCs w:val="23"/>
          <w:bdr w:val="none" w:sz="0" w:space="0" w:color="auto" w:frame="1"/>
        </w:rPr>
        <w:t xml:space="preserve">be </w:t>
      </w:r>
      <w:r w:rsidRPr="00EB7B1D">
        <w:rPr>
          <w:rFonts w:ascii="Arial" w:hAnsi="Arial" w:cs="Arial"/>
          <w:color w:val="242424"/>
          <w:sz w:val="23"/>
          <w:szCs w:val="23"/>
          <w:bdr w:val="none" w:sz="0" w:space="0" w:color="auto" w:frame="1"/>
        </w:rPr>
        <w:t xml:space="preserve">addressed </w:t>
      </w:r>
      <w:r w:rsidR="0044036F" w:rsidRPr="00EB7B1D">
        <w:rPr>
          <w:rFonts w:ascii="Arial" w:hAnsi="Arial" w:cs="Arial"/>
          <w:color w:val="242424"/>
          <w:sz w:val="23"/>
          <w:szCs w:val="23"/>
          <w:bdr w:val="none" w:sz="0" w:space="0" w:color="auto" w:frame="1"/>
        </w:rPr>
        <w:t>through appropriate governance mechanisms</w:t>
      </w:r>
      <w:r w:rsidR="00C461B3" w:rsidRPr="00EB7B1D">
        <w:rPr>
          <w:rFonts w:ascii="Arial" w:hAnsi="Arial" w:cs="Arial"/>
          <w:color w:val="242424"/>
          <w:sz w:val="23"/>
          <w:szCs w:val="23"/>
          <w:bdr w:val="none" w:sz="0" w:space="0" w:color="auto" w:frame="1"/>
        </w:rPr>
        <w:t xml:space="preserve"> </w:t>
      </w:r>
      <w:r w:rsidR="00196987">
        <w:rPr>
          <w:rFonts w:ascii="Arial" w:hAnsi="Arial" w:cs="Arial"/>
          <w:color w:val="242424"/>
          <w:sz w:val="23"/>
          <w:szCs w:val="23"/>
          <w:bdr w:val="none" w:sz="0" w:space="0" w:color="auto" w:frame="1"/>
        </w:rPr>
        <w:t xml:space="preserve">and a decision made whether </w:t>
      </w:r>
      <w:r w:rsidRPr="00EB7B1D">
        <w:rPr>
          <w:rFonts w:ascii="Arial" w:hAnsi="Arial" w:cs="Arial"/>
          <w:color w:val="242424"/>
          <w:sz w:val="23"/>
          <w:szCs w:val="23"/>
          <w:bdr w:val="none" w:sz="0" w:space="0" w:color="auto" w:frame="1"/>
        </w:rPr>
        <w:t xml:space="preserve">to </w:t>
      </w:r>
      <w:r w:rsidR="00C461B3" w:rsidRPr="00EB7B1D">
        <w:rPr>
          <w:rFonts w:ascii="Arial" w:hAnsi="Arial" w:cs="Arial"/>
          <w:color w:val="242424"/>
          <w:sz w:val="23"/>
          <w:szCs w:val="23"/>
          <w:bdr w:val="none" w:sz="0" w:space="0" w:color="auto" w:frame="1"/>
        </w:rPr>
        <w:t xml:space="preserve">halt </w:t>
      </w:r>
      <w:r w:rsidR="00196987">
        <w:rPr>
          <w:rFonts w:ascii="Arial" w:hAnsi="Arial" w:cs="Arial"/>
          <w:color w:val="242424"/>
          <w:sz w:val="23"/>
          <w:szCs w:val="23"/>
          <w:bdr w:val="none" w:sz="0" w:space="0" w:color="auto" w:frame="1"/>
        </w:rPr>
        <w:t xml:space="preserve">the </w:t>
      </w:r>
      <w:r w:rsidR="00C461B3" w:rsidRPr="00EB7B1D">
        <w:rPr>
          <w:rFonts w:ascii="Arial" w:hAnsi="Arial" w:cs="Arial"/>
          <w:color w:val="242424"/>
          <w:sz w:val="23"/>
          <w:szCs w:val="23"/>
          <w:bdr w:val="none" w:sz="0" w:space="0" w:color="auto" w:frame="1"/>
        </w:rPr>
        <w:lastRenderedPageBreak/>
        <w:t>activities or identify additional resources required to manage the risk to an acceptable level</w:t>
      </w:r>
      <w:r w:rsidR="0044036F" w:rsidRPr="00EB7B1D">
        <w:rPr>
          <w:rFonts w:ascii="Arial" w:hAnsi="Arial" w:cs="Arial"/>
          <w:color w:val="242424"/>
          <w:sz w:val="23"/>
          <w:szCs w:val="23"/>
          <w:bdr w:val="none" w:sz="0" w:space="0" w:color="auto" w:frame="1"/>
        </w:rPr>
        <w:t>.</w:t>
      </w:r>
    </w:p>
    <w:p w14:paraId="4ADA67A0" w14:textId="77777777" w:rsidR="00EB7B1D" w:rsidRPr="00EB7B1D" w:rsidRDefault="00EB7B1D" w:rsidP="0044036F">
      <w:pPr>
        <w:pStyle w:val="xmsonormal"/>
        <w:shd w:val="clear" w:color="auto" w:fill="FFFFFF"/>
        <w:spacing w:before="0" w:beforeAutospacing="0" w:after="0" w:afterAutospacing="0"/>
        <w:rPr>
          <w:rFonts w:ascii="Arial" w:hAnsi="Arial" w:cs="Arial"/>
          <w:color w:val="242424"/>
          <w:sz w:val="22"/>
          <w:szCs w:val="22"/>
          <w:bdr w:val="none" w:sz="0" w:space="0" w:color="auto" w:frame="1"/>
        </w:rPr>
      </w:pPr>
    </w:p>
    <w:p w14:paraId="2324B1FA" w14:textId="237B9BFB" w:rsidR="0072199B" w:rsidRPr="00EB7B1D" w:rsidRDefault="0072199B" w:rsidP="0072199B">
      <w:pPr>
        <w:pStyle w:val="xmsonormal"/>
        <w:shd w:val="clear" w:color="auto" w:fill="FFFFFF"/>
        <w:spacing w:before="0" w:beforeAutospacing="0" w:after="0" w:afterAutospacing="0"/>
        <w:rPr>
          <w:rFonts w:ascii="Arial" w:hAnsi="Arial" w:cs="Arial"/>
          <w:color w:val="242424"/>
          <w:sz w:val="23"/>
          <w:szCs w:val="23"/>
          <w:bdr w:val="none" w:sz="0" w:space="0" w:color="auto" w:frame="1"/>
        </w:rPr>
      </w:pPr>
      <w:r w:rsidRPr="00EB7B1D">
        <w:rPr>
          <w:rFonts w:ascii="Arial" w:hAnsi="Arial" w:cs="Arial"/>
          <w:color w:val="242424"/>
          <w:sz w:val="23"/>
          <w:szCs w:val="23"/>
          <w:bdr w:val="none" w:sz="0" w:space="0" w:color="auto" w:frame="1"/>
        </w:rPr>
        <w:t>Th</w:t>
      </w:r>
      <w:r w:rsidR="003C494B">
        <w:rPr>
          <w:rFonts w:ascii="Arial" w:hAnsi="Arial" w:cs="Arial"/>
          <w:color w:val="242424"/>
          <w:sz w:val="23"/>
          <w:szCs w:val="23"/>
          <w:bdr w:val="none" w:sz="0" w:space="0" w:color="auto" w:frame="1"/>
        </w:rPr>
        <w:t xml:space="preserve">e risk levels for each category of risk have </w:t>
      </w:r>
      <w:r w:rsidRPr="00EB7B1D">
        <w:rPr>
          <w:rFonts w:ascii="Arial" w:hAnsi="Arial" w:cs="Arial"/>
          <w:color w:val="242424"/>
          <w:sz w:val="23"/>
          <w:szCs w:val="23"/>
          <w:bdr w:val="none" w:sz="0" w:space="0" w:color="auto" w:frame="1"/>
        </w:rPr>
        <w:t xml:space="preserve">been </w:t>
      </w:r>
      <w:r w:rsidR="00EB7B1D" w:rsidRPr="00EB7B1D">
        <w:rPr>
          <w:rFonts w:ascii="Arial" w:hAnsi="Arial" w:cs="Arial"/>
          <w:color w:val="242424"/>
          <w:sz w:val="23"/>
          <w:szCs w:val="23"/>
          <w:bdr w:val="none" w:sz="0" w:space="0" w:color="auto" w:frame="1"/>
        </w:rPr>
        <w:t>def</w:t>
      </w:r>
      <w:r w:rsidRPr="00EB7B1D">
        <w:rPr>
          <w:rFonts w:ascii="Arial" w:hAnsi="Arial" w:cs="Arial"/>
          <w:color w:val="242424"/>
          <w:sz w:val="23"/>
          <w:szCs w:val="23"/>
          <w:bdr w:val="none" w:sz="0" w:space="0" w:color="auto" w:frame="1"/>
        </w:rPr>
        <w:t xml:space="preserve">ined through the context of existing organisational risks, </w:t>
      </w:r>
      <w:r w:rsidR="00947042" w:rsidRPr="00EB7B1D">
        <w:rPr>
          <w:rFonts w:ascii="Arial" w:hAnsi="Arial" w:cs="Arial"/>
          <w:color w:val="242424"/>
          <w:sz w:val="23"/>
          <w:szCs w:val="23"/>
          <w:bdr w:val="none" w:sz="0" w:space="0" w:color="auto" w:frame="1"/>
        </w:rPr>
        <w:t>issues,</w:t>
      </w:r>
      <w:r w:rsidRPr="00EB7B1D">
        <w:rPr>
          <w:rFonts w:ascii="Arial" w:hAnsi="Arial" w:cs="Arial"/>
          <w:color w:val="242424"/>
          <w:sz w:val="23"/>
          <w:szCs w:val="23"/>
          <w:bdr w:val="none" w:sz="0" w:space="0" w:color="auto" w:frame="1"/>
        </w:rPr>
        <w:t xml:space="preserve"> and consequences</w:t>
      </w:r>
      <w:r w:rsidR="00EB7B1D" w:rsidRPr="00EB7B1D">
        <w:rPr>
          <w:rFonts w:ascii="Arial" w:hAnsi="Arial" w:cs="Arial"/>
          <w:color w:val="242424"/>
          <w:sz w:val="23"/>
          <w:szCs w:val="23"/>
          <w:bdr w:val="none" w:sz="0" w:space="0" w:color="auto" w:frame="1"/>
        </w:rPr>
        <w:t xml:space="preserve"> </w:t>
      </w:r>
      <w:r w:rsidR="003C494B">
        <w:rPr>
          <w:rFonts w:ascii="Arial" w:hAnsi="Arial" w:cs="Arial"/>
          <w:color w:val="242424"/>
          <w:sz w:val="23"/>
          <w:szCs w:val="23"/>
          <w:bdr w:val="none" w:sz="0" w:space="0" w:color="auto" w:frame="1"/>
        </w:rPr>
        <w:t xml:space="preserve">and </w:t>
      </w:r>
      <w:r w:rsidR="00EB7B1D">
        <w:rPr>
          <w:rFonts w:ascii="Arial" w:hAnsi="Arial" w:cs="Arial"/>
          <w:color w:val="242424"/>
          <w:sz w:val="23"/>
          <w:szCs w:val="23"/>
          <w:bdr w:val="none" w:sz="0" w:space="0" w:color="auto" w:frame="1"/>
        </w:rPr>
        <w:t xml:space="preserve">are </w:t>
      </w:r>
      <w:r w:rsidR="00EB7B1D" w:rsidRPr="00EB7B1D">
        <w:rPr>
          <w:rFonts w:ascii="Arial" w:hAnsi="Arial" w:cs="Arial"/>
          <w:color w:val="242424"/>
          <w:sz w:val="23"/>
          <w:szCs w:val="23"/>
          <w:bdr w:val="none" w:sz="0" w:space="0" w:color="auto" w:frame="1"/>
        </w:rPr>
        <w:t xml:space="preserve">as </w:t>
      </w:r>
      <w:r w:rsidR="00833B30" w:rsidRPr="00EB7B1D">
        <w:rPr>
          <w:rFonts w:ascii="Arial" w:hAnsi="Arial" w:cs="Arial"/>
          <w:color w:val="242424"/>
          <w:sz w:val="23"/>
          <w:szCs w:val="23"/>
          <w:bdr w:val="none" w:sz="0" w:space="0" w:color="auto" w:frame="1"/>
        </w:rPr>
        <w:t>follows</w:t>
      </w:r>
      <w:r w:rsidRPr="00EB7B1D">
        <w:rPr>
          <w:rFonts w:ascii="Arial" w:hAnsi="Arial" w:cs="Arial"/>
          <w:color w:val="242424"/>
          <w:sz w:val="23"/>
          <w:szCs w:val="23"/>
          <w:bdr w:val="none" w:sz="0" w:space="0" w:color="auto" w:frame="1"/>
        </w:rPr>
        <w:t xml:space="preserve">: </w:t>
      </w:r>
    </w:p>
    <w:p w14:paraId="1C538BBD" w14:textId="77777777" w:rsidR="00833B30" w:rsidRPr="00EB7B1D" w:rsidRDefault="00833B30" w:rsidP="0072199B">
      <w:pPr>
        <w:pStyle w:val="xmsonormal"/>
        <w:shd w:val="clear" w:color="auto" w:fill="FFFFFF"/>
        <w:spacing w:before="0" w:beforeAutospacing="0" w:after="0" w:afterAutospacing="0"/>
        <w:rPr>
          <w:sz w:val="23"/>
          <w:szCs w:val="23"/>
          <w:bdr w:val="none" w:sz="0" w:space="0" w:color="auto" w:frame="1"/>
        </w:rPr>
      </w:pPr>
    </w:p>
    <w:p w14:paraId="2054FC77" w14:textId="72B053B4" w:rsidR="00D527BB" w:rsidRPr="0046201D" w:rsidRDefault="00746710" w:rsidP="005B317C">
      <w:pPr>
        <w:pStyle w:val="ListParagraph"/>
        <w:numPr>
          <w:ilvl w:val="0"/>
          <w:numId w:val="11"/>
        </w:numPr>
        <w:rPr>
          <w:sz w:val="23"/>
          <w:szCs w:val="23"/>
          <w:bdr w:val="none" w:sz="0" w:space="0" w:color="auto" w:frame="1"/>
        </w:rPr>
      </w:pPr>
      <w:r w:rsidRPr="0046201D">
        <w:rPr>
          <w:b/>
          <w:bCs/>
          <w:sz w:val="23"/>
          <w:szCs w:val="23"/>
          <w:bdr w:val="none" w:sz="0" w:space="0" w:color="auto" w:frame="1"/>
        </w:rPr>
        <w:t>Finance:</w:t>
      </w:r>
      <w:r w:rsidRPr="0046201D">
        <w:rPr>
          <w:sz w:val="23"/>
          <w:szCs w:val="23"/>
          <w:bdr w:val="none" w:sz="0" w:space="0" w:color="auto" w:frame="1"/>
        </w:rPr>
        <w:t xml:space="preserve"> We have adopted a </w:t>
      </w:r>
      <w:r w:rsidRPr="0046201D">
        <w:rPr>
          <w:b/>
          <w:bCs/>
          <w:sz w:val="23"/>
          <w:szCs w:val="23"/>
          <w:u w:val="single"/>
          <w:bdr w:val="none" w:sz="0" w:space="0" w:color="auto" w:frame="1"/>
        </w:rPr>
        <w:t>cautious</w:t>
      </w:r>
      <w:r w:rsidRPr="0046201D">
        <w:rPr>
          <w:sz w:val="23"/>
          <w:szCs w:val="23"/>
          <w:bdr w:val="none" w:sz="0" w:space="0" w:color="auto" w:frame="1"/>
        </w:rPr>
        <w:t xml:space="preserve"> stance for financial risks, seeking safe delivery options with little residual risk that only yield some upside opportunities. </w:t>
      </w:r>
    </w:p>
    <w:p w14:paraId="718807CA" w14:textId="77777777" w:rsidR="00EA4FA1" w:rsidRPr="0046201D" w:rsidRDefault="00EA4FA1" w:rsidP="00EA4FA1">
      <w:pPr>
        <w:pStyle w:val="ListParagraph"/>
        <w:rPr>
          <w:sz w:val="23"/>
          <w:szCs w:val="23"/>
          <w:bdr w:val="none" w:sz="0" w:space="0" w:color="auto" w:frame="1"/>
        </w:rPr>
      </w:pPr>
    </w:p>
    <w:p w14:paraId="332D37A8" w14:textId="69341A9A" w:rsidR="00746710" w:rsidRPr="0046201D" w:rsidRDefault="00746710" w:rsidP="00746710">
      <w:pPr>
        <w:pStyle w:val="ListParagraph"/>
        <w:numPr>
          <w:ilvl w:val="0"/>
          <w:numId w:val="11"/>
        </w:numPr>
        <w:rPr>
          <w:sz w:val="23"/>
          <w:szCs w:val="23"/>
          <w:bdr w:val="none" w:sz="0" w:space="0" w:color="auto" w:frame="1"/>
        </w:rPr>
      </w:pPr>
      <w:r w:rsidRPr="0046201D">
        <w:rPr>
          <w:b/>
          <w:bCs/>
          <w:sz w:val="23"/>
          <w:szCs w:val="23"/>
          <w:bdr w:val="none" w:sz="0" w:space="0" w:color="auto" w:frame="1"/>
        </w:rPr>
        <w:t>Information sharing:</w:t>
      </w:r>
      <w:r w:rsidRPr="0046201D">
        <w:rPr>
          <w:sz w:val="23"/>
          <w:szCs w:val="23"/>
          <w:bdr w:val="none" w:sz="0" w:space="0" w:color="auto" w:frame="1"/>
        </w:rPr>
        <w:t xml:space="preserve"> Where the lawful sharing of information is necessary to perform key functions and facilitate appropriate partnership working, we </w:t>
      </w:r>
      <w:r w:rsidR="00EA4FA1" w:rsidRPr="0046201D">
        <w:rPr>
          <w:sz w:val="23"/>
          <w:szCs w:val="23"/>
          <w:bdr w:val="none" w:sz="0" w:space="0" w:color="auto" w:frame="1"/>
        </w:rPr>
        <w:t xml:space="preserve">have adopted </w:t>
      </w:r>
      <w:r w:rsidRPr="0046201D">
        <w:rPr>
          <w:sz w:val="23"/>
          <w:szCs w:val="23"/>
          <w:bdr w:val="none" w:sz="0" w:space="0" w:color="auto" w:frame="1"/>
        </w:rPr>
        <w:t xml:space="preserve">a </w:t>
      </w:r>
      <w:r w:rsidRPr="0046201D">
        <w:rPr>
          <w:b/>
          <w:bCs/>
          <w:sz w:val="23"/>
          <w:szCs w:val="23"/>
          <w:u w:val="single"/>
          <w:bdr w:val="none" w:sz="0" w:space="0" w:color="auto" w:frame="1"/>
        </w:rPr>
        <w:t>balanced</w:t>
      </w:r>
      <w:r w:rsidRPr="0046201D">
        <w:rPr>
          <w:sz w:val="23"/>
          <w:szCs w:val="23"/>
          <w:bdr w:val="none" w:sz="0" w:space="0" w:color="auto" w:frame="1"/>
        </w:rPr>
        <w:t xml:space="preserve"> stance to risks that might arise from information sharing.  </w:t>
      </w:r>
    </w:p>
    <w:p w14:paraId="08E48595" w14:textId="77777777" w:rsidR="008533ED" w:rsidRPr="0046201D" w:rsidRDefault="008533ED" w:rsidP="008533ED">
      <w:pPr>
        <w:pStyle w:val="ListParagraph"/>
        <w:rPr>
          <w:sz w:val="23"/>
          <w:szCs w:val="23"/>
          <w:bdr w:val="none" w:sz="0" w:space="0" w:color="auto" w:frame="1"/>
        </w:rPr>
      </w:pPr>
    </w:p>
    <w:p w14:paraId="63FC0557" w14:textId="43AF7179" w:rsidR="00746710" w:rsidRPr="0046201D" w:rsidRDefault="00746710" w:rsidP="0073689F">
      <w:pPr>
        <w:pStyle w:val="ListParagraph"/>
        <w:numPr>
          <w:ilvl w:val="0"/>
          <w:numId w:val="11"/>
        </w:numPr>
        <w:rPr>
          <w:sz w:val="23"/>
          <w:szCs w:val="23"/>
          <w:bdr w:val="none" w:sz="0" w:space="0" w:color="auto" w:frame="1"/>
        </w:rPr>
      </w:pPr>
      <w:r w:rsidRPr="0046201D">
        <w:rPr>
          <w:b/>
          <w:bCs/>
          <w:sz w:val="23"/>
          <w:szCs w:val="23"/>
          <w:bdr w:val="none" w:sz="0" w:space="0" w:color="auto" w:frame="1"/>
        </w:rPr>
        <w:t>Information security:</w:t>
      </w:r>
      <w:r w:rsidRPr="0046201D">
        <w:rPr>
          <w:sz w:val="23"/>
          <w:szCs w:val="23"/>
          <w:bdr w:val="none" w:sz="0" w:space="0" w:color="auto" w:frame="1"/>
        </w:rPr>
        <w:t xml:space="preserve"> </w:t>
      </w:r>
      <w:r w:rsidR="00153B15" w:rsidRPr="0046201D">
        <w:rPr>
          <w:sz w:val="23"/>
          <w:szCs w:val="23"/>
          <w:bdr w:val="none" w:sz="0" w:space="0" w:color="auto" w:frame="1"/>
        </w:rPr>
        <w:t xml:space="preserve">We have adopted an </w:t>
      </w:r>
      <w:proofErr w:type="gramStart"/>
      <w:r w:rsidR="00153B15" w:rsidRPr="0046201D">
        <w:rPr>
          <w:b/>
          <w:bCs/>
          <w:sz w:val="23"/>
          <w:szCs w:val="23"/>
          <w:u w:val="single"/>
          <w:bdr w:val="none" w:sz="0" w:space="0" w:color="auto" w:frame="1"/>
        </w:rPr>
        <w:t>averse</w:t>
      </w:r>
      <w:proofErr w:type="gramEnd"/>
      <w:r w:rsidR="00153B15" w:rsidRPr="0046201D">
        <w:rPr>
          <w:sz w:val="23"/>
          <w:szCs w:val="23"/>
          <w:bdr w:val="none" w:sz="0" w:space="0" w:color="auto" w:frame="1"/>
        </w:rPr>
        <w:t xml:space="preserve"> stance to risks that could lead to the wrongful disclosure of information whether through human error, malice or as the result of cyber threats.  </w:t>
      </w:r>
    </w:p>
    <w:p w14:paraId="0637CA2D" w14:textId="77777777" w:rsidR="00153B15" w:rsidRPr="0046201D" w:rsidRDefault="00153B15" w:rsidP="00153B15">
      <w:pPr>
        <w:pStyle w:val="ListParagraph"/>
        <w:rPr>
          <w:sz w:val="23"/>
          <w:szCs w:val="23"/>
          <w:bdr w:val="none" w:sz="0" w:space="0" w:color="auto" w:frame="1"/>
        </w:rPr>
      </w:pPr>
    </w:p>
    <w:p w14:paraId="431DA144" w14:textId="59C0E67C" w:rsidR="00746710" w:rsidRPr="0046201D" w:rsidRDefault="00746710" w:rsidP="00D527BB">
      <w:pPr>
        <w:pStyle w:val="ListParagraph"/>
        <w:numPr>
          <w:ilvl w:val="0"/>
          <w:numId w:val="11"/>
        </w:numPr>
        <w:rPr>
          <w:sz w:val="23"/>
          <w:szCs w:val="23"/>
        </w:rPr>
      </w:pPr>
      <w:r w:rsidRPr="0046201D">
        <w:rPr>
          <w:b/>
          <w:bCs/>
          <w:sz w:val="23"/>
          <w:szCs w:val="23"/>
          <w:bdr w:val="none" w:sz="0" w:space="0" w:color="auto" w:frame="1"/>
        </w:rPr>
        <w:t>Legal and regulatory compliance:</w:t>
      </w:r>
      <w:r w:rsidRPr="0046201D">
        <w:rPr>
          <w:sz w:val="23"/>
          <w:szCs w:val="23"/>
          <w:bdr w:val="none" w:sz="0" w:space="0" w:color="auto" w:frame="1"/>
        </w:rPr>
        <w:t xml:space="preserve"> We have adopted a </w:t>
      </w:r>
      <w:r w:rsidRPr="0046201D">
        <w:rPr>
          <w:b/>
          <w:bCs/>
          <w:sz w:val="23"/>
          <w:szCs w:val="23"/>
          <w:u w:val="single"/>
          <w:bdr w:val="none" w:sz="0" w:space="0" w:color="auto" w:frame="1"/>
        </w:rPr>
        <w:t>cautious</w:t>
      </w:r>
      <w:r w:rsidRPr="0046201D">
        <w:rPr>
          <w:sz w:val="23"/>
          <w:szCs w:val="23"/>
          <w:bdr w:val="none" w:sz="0" w:space="0" w:color="auto" w:frame="1"/>
        </w:rPr>
        <w:t xml:space="preserve"> stance for compliance, seeking a preference for adhering to responsibilities, and safe delivery options with little residual risk</w:t>
      </w:r>
      <w:r w:rsidR="00D527BB" w:rsidRPr="0046201D">
        <w:rPr>
          <w:sz w:val="23"/>
          <w:szCs w:val="23"/>
          <w:bdr w:val="none" w:sz="0" w:space="0" w:color="auto" w:frame="1"/>
        </w:rPr>
        <w:t>.</w:t>
      </w:r>
    </w:p>
    <w:p w14:paraId="0F657A9D" w14:textId="77777777" w:rsidR="00746710" w:rsidRPr="0046201D" w:rsidRDefault="00746710" w:rsidP="00746710">
      <w:pPr>
        <w:pStyle w:val="ListParagraph"/>
        <w:rPr>
          <w:sz w:val="23"/>
          <w:szCs w:val="23"/>
        </w:rPr>
      </w:pPr>
    </w:p>
    <w:p w14:paraId="0505154B" w14:textId="2012300B" w:rsidR="009B1874" w:rsidRPr="0046201D" w:rsidRDefault="009B1874" w:rsidP="009B1874">
      <w:pPr>
        <w:pStyle w:val="ListParagraph"/>
        <w:numPr>
          <w:ilvl w:val="0"/>
          <w:numId w:val="11"/>
        </w:numPr>
        <w:rPr>
          <w:sz w:val="23"/>
          <w:szCs w:val="23"/>
          <w:bdr w:val="none" w:sz="0" w:space="0" w:color="auto" w:frame="1"/>
        </w:rPr>
      </w:pPr>
      <w:r w:rsidRPr="0046201D">
        <w:rPr>
          <w:b/>
          <w:bCs/>
          <w:sz w:val="23"/>
          <w:szCs w:val="23"/>
          <w:bdr w:val="none" w:sz="0" w:space="0" w:color="auto" w:frame="1"/>
        </w:rPr>
        <w:t>Partnership working:</w:t>
      </w:r>
      <w:r w:rsidRPr="0046201D">
        <w:rPr>
          <w:sz w:val="23"/>
          <w:szCs w:val="23"/>
          <w:bdr w:val="none" w:sz="0" w:space="0" w:color="auto" w:frame="1"/>
        </w:rPr>
        <w:t xml:space="preserve"> </w:t>
      </w:r>
      <w:r w:rsidR="0043414F" w:rsidRPr="0046201D">
        <w:rPr>
          <w:sz w:val="23"/>
          <w:szCs w:val="23"/>
          <w:bdr w:val="none" w:sz="0" w:space="0" w:color="auto" w:frame="1"/>
        </w:rPr>
        <w:t xml:space="preserve"> We have adopted an </w:t>
      </w:r>
      <w:r w:rsidR="0043414F" w:rsidRPr="0046201D">
        <w:rPr>
          <w:b/>
          <w:bCs/>
          <w:sz w:val="23"/>
          <w:szCs w:val="23"/>
          <w:u w:val="single"/>
          <w:bdr w:val="none" w:sz="0" w:space="0" w:color="auto" w:frame="1"/>
        </w:rPr>
        <w:t>open</w:t>
      </w:r>
      <w:r w:rsidR="0043414F" w:rsidRPr="0046201D">
        <w:rPr>
          <w:sz w:val="23"/>
          <w:szCs w:val="23"/>
          <w:bdr w:val="none" w:sz="0" w:space="0" w:color="auto" w:frame="1"/>
        </w:rPr>
        <w:t xml:space="preserve"> stance to risks with partnership working</w:t>
      </w:r>
      <w:r w:rsidR="00FC129B" w:rsidRPr="0046201D">
        <w:rPr>
          <w:sz w:val="23"/>
          <w:szCs w:val="23"/>
          <w:bdr w:val="none" w:sz="0" w:space="0" w:color="auto" w:frame="1"/>
        </w:rPr>
        <w:t xml:space="preserve"> which is </w:t>
      </w:r>
      <w:r w:rsidRPr="0046201D">
        <w:rPr>
          <w:sz w:val="23"/>
          <w:szCs w:val="23"/>
          <w:bdr w:val="none" w:sz="0" w:space="0" w:color="auto" w:frame="1"/>
        </w:rPr>
        <w:t>essential to delivering improvements in health improvements and outcomes of our patients and public</w:t>
      </w:r>
      <w:r w:rsidR="00FC129B" w:rsidRPr="0046201D">
        <w:rPr>
          <w:sz w:val="23"/>
          <w:szCs w:val="23"/>
          <w:bdr w:val="none" w:sz="0" w:space="0" w:color="auto" w:frame="1"/>
        </w:rPr>
        <w:t xml:space="preserve">.  </w:t>
      </w:r>
      <w:r w:rsidRPr="0046201D">
        <w:rPr>
          <w:sz w:val="23"/>
          <w:szCs w:val="23"/>
          <w:bdr w:val="none" w:sz="0" w:space="0" w:color="auto" w:frame="1"/>
        </w:rPr>
        <w:t xml:space="preserve"> </w:t>
      </w:r>
    </w:p>
    <w:p w14:paraId="21B48E14" w14:textId="77777777" w:rsidR="009B1874" w:rsidRPr="0046201D" w:rsidRDefault="009B1874" w:rsidP="009B1874">
      <w:pPr>
        <w:pStyle w:val="ListParagraph"/>
        <w:rPr>
          <w:b/>
          <w:bCs/>
          <w:sz w:val="23"/>
          <w:szCs w:val="23"/>
          <w:bdr w:val="none" w:sz="0" w:space="0" w:color="auto" w:frame="1"/>
        </w:rPr>
      </w:pPr>
    </w:p>
    <w:p w14:paraId="6613BA13" w14:textId="68C4B17A" w:rsidR="003332CD" w:rsidRPr="0046201D" w:rsidRDefault="00336FDD" w:rsidP="00746710">
      <w:pPr>
        <w:pStyle w:val="ListParagraph"/>
        <w:numPr>
          <w:ilvl w:val="0"/>
          <w:numId w:val="11"/>
        </w:numPr>
        <w:rPr>
          <w:sz w:val="23"/>
          <w:szCs w:val="23"/>
          <w:bdr w:val="none" w:sz="0" w:space="0" w:color="auto" w:frame="1"/>
        </w:rPr>
      </w:pPr>
      <w:r w:rsidRPr="0046201D">
        <w:rPr>
          <w:b/>
          <w:bCs/>
          <w:sz w:val="23"/>
          <w:szCs w:val="23"/>
          <w:bdr w:val="none" w:sz="0" w:space="0" w:color="auto" w:frame="1"/>
        </w:rPr>
        <w:t>Patient safety and quality of commissioned services:</w:t>
      </w:r>
      <w:r w:rsidRPr="0046201D">
        <w:rPr>
          <w:sz w:val="23"/>
          <w:szCs w:val="23"/>
          <w:bdr w:val="none" w:sz="0" w:space="0" w:color="auto" w:frame="1"/>
        </w:rPr>
        <w:t xml:space="preserve"> We have adopted an </w:t>
      </w:r>
      <w:proofErr w:type="gramStart"/>
      <w:r w:rsidRPr="0046201D">
        <w:rPr>
          <w:b/>
          <w:bCs/>
          <w:sz w:val="23"/>
          <w:szCs w:val="23"/>
          <w:u w:val="single"/>
          <w:bdr w:val="none" w:sz="0" w:space="0" w:color="auto" w:frame="1"/>
        </w:rPr>
        <w:t>averse</w:t>
      </w:r>
      <w:proofErr w:type="gramEnd"/>
      <w:r w:rsidRPr="0046201D">
        <w:rPr>
          <w:sz w:val="23"/>
          <w:szCs w:val="23"/>
          <w:bdr w:val="none" w:sz="0" w:space="0" w:color="auto" w:frame="1"/>
        </w:rPr>
        <w:t xml:space="preserve"> stance to risks which compromise patient safety and quality in the services that we commission. </w:t>
      </w:r>
    </w:p>
    <w:p w14:paraId="53CF3640" w14:textId="77777777" w:rsidR="00D527BB" w:rsidRPr="0046201D" w:rsidRDefault="00D527BB" w:rsidP="00D527BB">
      <w:pPr>
        <w:pStyle w:val="ListParagraph"/>
        <w:rPr>
          <w:sz w:val="23"/>
          <w:szCs w:val="23"/>
          <w:bdr w:val="none" w:sz="0" w:space="0" w:color="auto" w:frame="1"/>
        </w:rPr>
      </w:pPr>
    </w:p>
    <w:p w14:paraId="39D2F8FC" w14:textId="4F9B93AA" w:rsidR="00D527BB" w:rsidRPr="0046201D" w:rsidRDefault="00746710" w:rsidP="00D527BB">
      <w:pPr>
        <w:pStyle w:val="ListParagraph"/>
        <w:numPr>
          <w:ilvl w:val="0"/>
          <w:numId w:val="11"/>
        </w:numPr>
        <w:rPr>
          <w:sz w:val="23"/>
          <w:szCs w:val="23"/>
          <w:bdr w:val="none" w:sz="0" w:space="0" w:color="auto" w:frame="1"/>
        </w:rPr>
      </w:pPr>
      <w:r w:rsidRPr="0046201D">
        <w:rPr>
          <w:b/>
          <w:bCs/>
          <w:sz w:val="23"/>
          <w:szCs w:val="23"/>
          <w:bdr w:val="none" w:sz="0" w:space="0" w:color="auto" w:frame="1"/>
        </w:rPr>
        <w:t>People and workforce development:</w:t>
      </w:r>
      <w:r w:rsidRPr="0046201D">
        <w:rPr>
          <w:sz w:val="23"/>
          <w:szCs w:val="23"/>
          <w:bdr w:val="none" w:sz="0" w:space="0" w:color="auto" w:frame="1"/>
        </w:rPr>
        <w:t xml:space="preserve"> We have </w:t>
      </w:r>
      <w:r w:rsidR="00EA4FA1" w:rsidRPr="0046201D">
        <w:rPr>
          <w:sz w:val="23"/>
          <w:szCs w:val="23"/>
          <w:bdr w:val="none" w:sz="0" w:space="0" w:color="auto" w:frame="1"/>
        </w:rPr>
        <w:t xml:space="preserve">adopted </w:t>
      </w:r>
      <w:r w:rsidRPr="0046201D">
        <w:rPr>
          <w:sz w:val="23"/>
          <w:szCs w:val="23"/>
          <w:bdr w:val="none" w:sz="0" w:space="0" w:color="auto" w:frame="1"/>
        </w:rPr>
        <w:t xml:space="preserve">an </w:t>
      </w:r>
      <w:r w:rsidRPr="0046201D">
        <w:rPr>
          <w:b/>
          <w:bCs/>
          <w:sz w:val="23"/>
          <w:szCs w:val="23"/>
          <w:u w:val="single"/>
          <w:bdr w:val="none" w:sz="0" w:space="0" w:color="auto" w:frame="1"/>
        </w:rPr>
        <w:t>open</w:t>
      </w:r>
      <w:r w:rsidRPr="0046201D">
        <w:rPr>
          <w:sz w:val="23"/>
          <w:szCs w:val="23"/>
          <w:bdr w:val="none" w:sz="0" w:space="0" w:color="auto" w:frame="1"/>
        </w:rPr>
        <w:t xml:space="preserve"> appetite to invest in our people and their development where it supports the organisational aims and strategy.</w:t>
      </w:r>
    </w:p>
    <w:p w14:paraId="094BBE5F" w14:textId="77777777" w:rsidR="00D527BB" w:rsidRPr="0046201D" w:rsidRDefault="00D527BB" w:rsidP="00D527BB">
      <w:pPr>
        <w:pStyle w:val="ListParagraph"/>
        <w:rPr>
          <w:sz w:val="23"/>
          <w:szCs w:val="23"/>
          <w:bdr w:val="none" w:sz="0" w:space="0" w:color="auto" w:frame="1"/>
        </w:rPr>
      </w:pPr>
    </w:p>
    <w:p w14:paraId="6F2283B8" w14:textId="1419DD4B" w:rsidR="00D527BB" w:rsidRPr="0046201D" w:rsidRDefault="001C59E6" w:rsidP="00D527BB">
      <w:pPr>
        <w:pStyle w:val="ListParagraph"/>
        <w:numPr>
          <w:ilvl w:val="0"/>
          <w:numId w:val="11"/>
        </w:numPr>
        <w:rPr>
          <w:sz w:val="23"/>
          <w:szCs w:val="23"/>
        </w:rPr>
      </w:pPr>
      <w:r w:rsidRPr="0046201D">
        <w:rPr>
          <w:b/>
          <w:bCs/>
          <w:sz w:val="23"/>
          <w:szCs w:val="23"/>
          <w:bdr w:val="none" w:sz="0" w:space="0" w:color="auto" w:frame="1"/>
        </w:rPr>
        <w:t>Reputational risks:</w:t>
      </w:r>
      <w:r w:rsidRPr="0046201D">
        <w:rPr>
          <w:sz w:val="23"/>
          <w:szCs w:val="23"/>
          <w:bdr w:val="none" w:sz="0" w:space="0" w:color="auto" w:frame="1"/>
        </w:rPr>
        <w:t> We have adopted a </w:t>
      </w:r>
      <w:r w:rsidRPr="0046201D">
        <w:rPr>
          <w:b/>
          <w:bCs/>
          <w:sz w:val="23"/>
          <w:szCs w:val="23"/>
          <w:u w:val="single"/>
          <w:bdr w:val="none" w:sz="0" w:space="0" w:color="auto" w:frame="1"/>
        </w:rPr>
        <w:t>cautious</w:t>
      </w:r>
      <w:r w:rsidRPr="0046201D">
        <w:rPr>
          <w:sz w:val="23"/>
          <w:szCs w:val="23"/>
          <w:bdr w:val="none" w:sz="0" w:space="0" w:color="auto" w:frame="1"/>
        </w:rPr>
        <w:t xml:space="preserve"> stance for reputational risks, with a preference for safer delivery options, tolerating a cautious degree of residual risk </w:t>
      </w:r>
      <w:r w:rsidR="001132CF" w:rsidRPr="0046201D">
        <w:rPr>
          <w:sz w:val="23"/>
          <w:szCs w:val="23"/>
          <w:bdr w:val="none" w:sz="0" w:space="0" w:color="auto" w:frame="1"/>
        </w:rPr>
        <w:t xml:space="preserve">whilst </w:t>
      </w:r>
      <w:r w:rsidRPr="0046201D">
        <w:rPr>
          <w:sz w:val="23"/>
          <w:szCs w:val="23"/>
          <w:bdr w:val="none" w:sz="0" w:space="0" w:color="auto" w:frame="1"/>
        </w:rPr>
        <w:t>choosing the option most likely to result in successful delivery</w:t>
      </w:r>
      <w:r w:rsidR="00153B15" w:rsidRPr="0046201D">
        <w:rPr>
          <w:sz w:val="23"/>
          <w:szCs w:val="23"/>
          <w:bdr w:val="none" w:sz="0" w:space="0" w:color="auto" w:frame="1"/>
        </w:rPr>
        <w:t xml:space="preserve"> of </w:t>
      </w:r>
      <w:r w:rsidR="00EA4FA1" w:rsidRPr="0046201D">
        <w:rPr>
          <w:sz w:val="23"/>
          <w:szCs w:val="23"/>
          <w:bdr w:val="none" w:sz="0" w:space="0" w:color="auto" w:frame="1"/>
        </w:rPr>
        <w:t>high quality, cost-effective</w:t>
      </w:r>
      <w:r w:rsidRPr="0046201D">
        <w:rPr>
          <w:sz w:val="23"/>
          <w:szCs w:val="23"/>
          <w:bdr w:val="none" w:sz="0" w:space="0" w:color="auto" w:frame="1"/>
        </w:rPr>
        <w:t xml:space="preserve"> services to the public.</w:t>
      </w:r>
    </w:p>
    <w:p w14:paraId="5EF936DD" w14:textId="77777777" w:rsidR="009B1874" w:rsidRPr="0046201D" w:rsidRDefault="009B1874" w:rsidP="009B1874">
      <w:pPr>
        <w:pStyle w:val="ListParagraph"/>
        <w:rPr>
          <w:sz w:val="23"/>
          <w:szCs w:val="23"/>
        </w:rPr>
      </w:pPr>
    </w:p>
    <w:p w14:paraId="5A64159F" w14:textId="1C06C3F2" w:rsidR="009B1874" w:rsidRPr="0046201D" w:rsidRDefault="009B1874" w:rsidP="009B1874">
      <w:pPr>
        <w:pStyle w:val="ListParagraph"/>
        <w:numPr>
          <w:ilvl w:val="0"/>
          <w:numId w:val="11"/>
        </w:numPr>
        <w:rPr>
          <w:sz w:val="23"/>
          <w:szCs w:val="23"/>
          <w:bdr w:val="none" w:sz="0" w:space="0" w:color="auto" w:frame="1"/>
        </w:rPr>
      </w:pPr>
      <w:r w:rsidRPr="0046201D">
        <w:rPr>
          <w:b/>
          <w:bCs/>
          <w:sz w:val="23"/>
          <w:szCs w:val="23"/>
          <w:bdr w:val="none" w:sz="0" w:space="0" w:color="auto" w:frame="1"/>
        </w:rPr>
        <w:t>Research and innovation:</w:t>
      </w:r>
      <w:r w:rsidRPr="0046201D">
        <w:rPr>
          <w:sz w:val="23"/>
          <w:szCs w:val="23"/>
          <w:bdr w:val="none" w:sz="0" w:space="0" w:color="auto" w:frame="1"/>
        </w:rPr>
        <w:t xml:space="preserve"> We have adopted an </w:t>
      </w:r>
      <w:r w:rsidRPr="0046201D">
        <w:rPr>
          <w:b/>
          <w:bCs/>
          <w:sz w:val="23"/>
          <w:szCs w:val="23"/>
          <w:u w:val="single"/>
          <w:bdr w:val="none" w:sz="0" w:space="0" w:color="auto" w:frame="1"/>
        </w:rPr>
        <w:t>open</w:t>
      </w:r>
      <w:r w:rsidRPr="0046201D">
        <w:rPr>
          <w:sz w:val="23"/>
          <w:szCs w:val="23"/>
          <w:bdr w:val="none" w:sz="0" w:space="0" w:color="auto" w:frame="1"/>
        </w:rPr>
        <w:t> stance for innovation risks</w:t>
      </w:r>
      <w:r w:rsidR="00FC129B" w:rsidRPr="0046201D">
        <w:rPr>
          <w:sz w:val="23"/>
          <w:szCs w:val="23"/>
          <w:bdr w:val="none" w:sz="0" w:space="0" w:color="auto" w:frame="1"/>
        </w:rPr>
        <w:t xml:space="preserve"> that will result in improvements to health and to health and care services The </w:t>
      </w:r>
      <w:r w:rsidRPr="0046201D">
        <w:rPr>
          <w:sz w:val="23"/>
          <w:szCs w:val="23"/>
          <w:bdr w:val="none" w:sz="0" w:space="0" w:color="auto" w:frame="1"/>
        </w:rPr>
        <w:t xml:space="preserve">Board accepts that there will be a degree of risk when introducing new systems, processes and ways of working however where these </w:t>
      </w:r>
      <w:r w:rsidR="00EA4FA1" w:rsidRPr="0046201D">
        <w:rPr>
          <w:sz w:val="23"/>
          <w:szCs w:val="23"/>
          <w:bdr w:val="none" w:sz="0" w:space="0" w:color="auto" w:frame="1"/>
        </w:rPr>
        <w:t xml:space="preserve">and </w:t>
      </w:r>
      <w:r w:rsidRPr="0046201D">
        <w:rPr>
          <w:sz w:val="23"/>
          <w:szCs w:val="23"/>
          <w:bdr w:val="none" w:sz="0" w:space="0" w:color="auto" w:frame="1"/>
        </w:rPr>
        <w:t xml:space="preserve">is receptive to these activities. </w:t>
      </w:r>
    </w:p>
    <w:p w14:paraId="42346564" w14:textId="77777777" w:rsidR="00D527BB" w:rsidRPr="0046201D" w:rsidRDefault="00D527BB" w:rsidP="00D527BB">
      <w:pPr>
        <w:pStyle w:val="ListParagraph"/>
        <w:rPr>
          <w:sz w:val="23"/>
          <w:szCs w:val="23"/>
        </w:rPr>
      </w:pPr>
    </w:p>
    <w:p w14:paraId="1900EF18" w14:textId="54C2D01D" w:rsidR="00D527BB" w:rsidRPr="0046201D" w:rsidRDefault="00746710" w:rsidP="00D527BB">
      <w:pPr>
        <w:pStyle w:val="ListParagraph"/>
        <w:numPr>
          <w:ilvl w:val="0"/>
          <w:numId w:val="11"/>
        </w:numPr>
        <w:rPr>
          <w:sz w:val="23"/>
          <w:szCs w:val="23"/>
          <w:bdr w:val="none" w:sz="0" w:space="0" w:color="auto" w:frame="1"/>
          <w:shd w:val="clear" w:color="auto" w:fill="FFFFFF"/>
        </w:rPr>
      </w:pPr>
      <w:r w:rsidRPr="0046201D">
        <w:rPr>
          <w:b/>
          <w:bCs/>
          <w:sz w:val="23"/>
          <w:szCs w:val="23"/>
          <w:bdr w:val="none" w:sz="0" w:space="0" w:color="auto" w:frame="1"/>
          <w:shd w:val="clear" w:color="auto" w:fill="FFFFFF"/>
        </w:rPr>
        <w:t xml:space="preserve">Security and health </w:t>
      </w:r>
      <w:r w:rsidR="008533ED" w:rsidRPr="0046201D">
        <w:rPr>
          <w:b/>
          <w:bCs/>
          <w:sz w:val="23"/>
          <w:szCs w:val="23"/>
          <w:bdr w:val="none" w:sz="0" w:space="0" w:color="auto" w:frame="1"/>
          <w:shd w:val="clear" w:color="auto" w:fill="FFFFFF"/>
        </w:rPr>
        <w:t>and</w:t>
      </w:r>
      <w:r w:rsidRPr="0046201D">
        <w:rPr>
          <w:b/>
          <w:bCs/>
          <w:sz w:val="23"/>
          <w:szCs w:val="23"/>
          <w:bdr w:val="none" w:sz="0" w:space="0" w:color="auto" w:frame="1"/>
          <w:shd w:val="clear" w:color="auto" w:fill="FFFFFF"/>
        </w:rPr>
        <w:t xml:space="preserve"> safety:</w:t>
      </w:r>
      <w:r w:rsidRPr="0046201D">
        <w:rPr>
          <w:sz w:val="23"/>
          <w:szCs w:val="23"/>
          <w:bdr w:val="none" w:sz="0" w:space="0" w:color="auto" w:frame="1"/>
          <w:shd w:val="clear" w:color="auto" w:fill="FFFFFF"/>
        </w:rPr>
        <w:t xml:space="preserve"> We have adopted an </w:t>
      </w:r>
      <w:proofErr w:type="gramStart"/>
      <w:r w:rsidRPr="0046201D">
        <w:rPr>
          <w:b/>
          <w:bCs/>
          <w:sz w:val="23"/>
          <w:szCs w:val="23"/>
          <w:u w:val="single"/>
          <w:bdr w:val="none" w:sz="0" w:space="0" w:color="auto" w:frame="1"/>
          <w:shd w:val="clear" w:color="auto" w:fill="FFFFFF"/>
        </w:rPr>
        <w:t>averse</w:t>
      </w:r>
      <w:proofErr w:type="gramEnd"/>
      <w:r w:rsidRPr="0046201D">
        <w:rPr>
          <w:sz w:val="23"/>
          <w:szCs w:val="23"/>
          <w:bdr w:val="none" w:sz="0" w:space="0" w:color="auto" w:frame="1"/>
          <w:shd w:val="clear" w:color="auto" w:fill="FFFFFF"/>
        </w:rPr>
        <w:t xml:space="preserve"> stance for risks which may compromise our people's safety and wellbeing</w:t>
      </w:r>
      <w:r w:rsidR="00153B15" w:rsidRPr="0046201D">
        <w:rPr>
          <w:sz w:val="23"/>
          <w:szCs w:val="23"/>
          <w:bdr w:val="none" w:sz="0" w:space="0" w:color="auto" w:frame="1"/>
          <w:shd w:val="clear" w:color="auto" w:fill="FFFFFF"/>
        </w:rPr>
        <w:t xml:space="preserve"> or </w:t>
      </w:r>
      <w:r w:rsidRPr="0046201D">
        <w:rPr>
          <w:sz w:val="23"/>
          <w:szCs w:val="23"/>
          <w:bdr w:val="none" w:sz="0" w:space="0" w:color="auto" w:frame="1"/>
          <w:shd w:val="clear" w:color="auto" w:fill="FFFFFF"/>
        </w:rPr>
        <w:t xml:space="preserve">potentially cause loss, harm or reputational damage to </w:t>
      </w:r>
      <w:r w:rsidR="00153B15" w:rsidRPr="0046201D">
        <w:rPr>
          <w:sz w:val="23"/>
          <w:szCs w:val="23"/>
          <w:bdr w:val="none" w:sz="0" w:space="0" w:color="auto" w:frame="1"/>
          <w:shd w:val="clear" w:color="auto" w:fill="FFFFFF"/>
        </w:rPr>
        <w:t xml:space="preserve">the </w:t>
      </w:r>
      <w:r w:rsidRPr="0046201D">
        <w:rPr>
          <w:sz w:val="23"/>
          <w:szCs w:val="23"/>
          <w:bdr w:val="none" w:sz="0" w:space="0" w:color="auto" w:frame="1"/>
          <w:shd w:val="clear" w:color="auto" w:fill="FFFFFF"/>
        </w:rPr>
        <w:t xml:space="preserve">physical and technical infrastructure and assets, or </w:t>
      </w:r>
      <w:r w:rsidR="001132CF" w:rsidRPr="0046201D">
        <w:rPr>
          <w:sz w:val="23"/>
          <w:szCs w:val="23"/>
          <w:bdr w:val="none" w:sz="0" w:space="0" w:color="auto" w:frame="1"/>
          <w:shd w:val="clear" w:color="auto" w:fill="FFFFFF"/>
        </w:rPr>
        <w:t>use</w:t>
      </w:r>
      <w:r w:rsidRPr="0046201D">
        <w:rPr>
          <w:sz w:val="23"/>
          <w:szCs w:val="23"/>
          <w:bdr w:val="none" w:sz="0" w:space="0" w:color="auto" w:frame="1"/>
          <w:shd w:val="clear" w:color="auto" w:fill="FFFFFF"/>
        </w:rPr>
        <w:t xml:space="preserve"> of technology within the organisation.</w:t>
      </w:r>
    </w:p>
    <w:p w14:paraId="64E0A403" w14:textId="385A8C93" w:rsidR="00D527BB" w:rsidRPr="00EB7B1D" w:rsidRDefault="00D527BB" w:rsidP="0072199B">
      <w:pPr>
        <w:rPr>
          <w:bdr w:val="none" w:sz="0" w:space="0" w:color="auto" w:frame="1"/>
          <w:shd w:val="clear" w:color="auto" w:fill="FFFFFF"/>
        </w:rPr>
      </w:pPr>
    </w:p>
    <w:sectPr w:rsidR="00D527BB" w:rsidRPr="00EB7B1D" w:rsidSect="00947042">
      <w:headerReference w:type="default" r:id="rId9"/>
      <w:footerReference w:type="default" r:id="rId10"/>
      <w:pgSz w:w="11906" w:h="16838"/>
      <w:pgMar w:top="567" w:right="1440" w:bottom="709" w:left="1440" w:header="708"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DF70" w14:textId="77777777" w:rsidR="006E301E" w:rsidRDefault="006E301E" w:rsidP="006E301E">
      <w:pPr>
        <w:spacing w:after="0" w:line="240" w:lineRule="auto"/>
      </w:pPr>
      <w:r>
        <w:separator/>
      </w:r>
    </w:p>
  </w:endnote>
  <w:endnote w:type="continuationSeparator" w:id="0">
    <w:p w14:paraId="702E31F7" w14:textId="77777777" w:rsidR="006E301E" w:rsidRDefault="006E301E" w:rsidP="006E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8214" w14:textId="7D2FEE03" w:rsidR="008533ED" w:rsidRDefault="008533ED" w:rsidP="008533ED">
    <w:pPr>
      <w:pStyle w:val="Footer"/>
    </w:pPr>
    <w:r w:rsidRPr="00947042">
      <w:rPr>
        <w:sz w:val="18"/>
        <w:szCs w:val="18"/>
      </w:rPr>
      <w:t xml:space="preserve">NENC </w:t>
    </w:r>
    <w:r w:rsidR="007D37AB" w:rsidRPr="00947042">
      <w:rPr>
        <w:sz w:val="18"/>
        <w:szCs w:val="18"/>
      </w:rPr>
      <w:t xml:space="preserve">ICB </w:t>
    </w:r>
    <w:r w:rsidRPr="00947042">
      <w:rPr>
        <w:sz w:val="18"/>
        <w:szCs w:val="18"/>
      </w:rPr>
      <w:t xml:space="preserve">risk appetite statement </w:t>
    </w:r>
    <w:r w:rsidR="00E5071D">
      <w:rPr>
        <w:sz w:val="18"/>
        <w:szCs w:val="18"/>
      </w:rPr>
      <w:t>25/26 – April 25</w:t>
    </w:r>
    <w:r w:rsidR="00947042">
      <w:tab/>
    </w:r>
    <w:sdt>
      <w:sdtPr>
        <w:id w:val="1559367625"/>
        <w:docPartObj>
          <w:docPartGallery w:val="Page Numbers (Bottom of Page)"/>
          <w:docPartUnique/>
        </w:docPartObj>
      </w:sdtPr>
      <w:sdtEndPr>
        <w:rPr>
          <w:noProof/>
          <w:sz w:val="18"/>
          <w:szCs w:val="18"/>
        </w:rPr>
      </w:sdtEndPr>
      <w:sdtContent>
        <w:r w:rsidRPr="00947042">
          <w:rPr>
            <w:sz w:val="18"/>
            <w:szCs w:val="18"/>
          </w:rPr>
          <w:fldChar w:fldCharType="begin"/>
        </w:r>
        <w:r w:rsidRPr="00947042">
          <w:rPr>
            <w:sz w:val="18"/>
            <w:szCs w:val="18"/>
          </w:rPr>
          <w:instrText xml:space="preserve"> PAGE   \* MERGEFORMAT </w:instrText>
        </w:r>
        <w:r w:rsidRPr="00947042">
          <w:rPr>
            <w:sz w:val="18"/>
            <w:szCs w:val="18"/>
          </w:rPr>
          <w:fldChar w:fldCharType="separate"/>
        </w:r>
        <w:r w:rsidRPr="00947042">
          <w:rPr>
            <w:noProof/>
            <w:sz w:val="18"/>
            <w:szCs w:val="18"/>
          </w:rPr>
          <w:t>2</w:t>
        </w:r>
        <w:r w:rsidRPr="00947042">
          <w:rPr>
            <w:noProof/>
            <w:sz w:val="18"/>
            <w:szCs w:val="18"/>
          </w:rPr>
          <w:fldChar w:fldCharType="end"/>
        </w:r>
      </w:sdtContent>
    </w:sdt>
  </w:p>
  <w:p w14:paraId="221AFEEE" w14:textId="027194C4" w:rsidR="006E301E" w:rsidRPr="008533ED" w:rsidRDefault="006E301E" w:rsidP="0085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D28A" w14:textId="77777777" w:rsidR="006E301E" w:rsidRDefault="006E301E" w:rsidP="006E301E">
      <w:pPr>
        <w:spacing w:after="0" w:line="240" w:lineRule="auto"/>
      </w:pPr>
      <w:r>
        <w:separator/>
      </w:r>
    </w:p>
  </w:footnote>
  <w:footnote w:type="continuationSeparator" w:id="0">
    <w:p w14:paraId="568B7817" w14:textId="77777777" w:rsidR="006E301E" w:rsidRDefault="006E301E" w:rsidP="006E301E">
      <w:pPr>
        <w:spacing w:after="0" w:line="240" w:lineRule="auto"/>
      </w:pPr>
      <w:r>
        <w:continuationSeparator/>
      </w:r>
    </w:p>
  </w:footnote>
  <w:footnote w:id="1">
    <w:p w14:paraId="15048E30" w14:textId="4CF406A8" w:rsidR="00EB7B1D" w:rsidRPr="00EB7B1D" w:rsidRDefault="00EB7B1D">
      <w:pPr>
        <w:pStyle w:val="FootnoteText"/>
        <w:rPr>
          <w:sz w:val="16"/>
          <w:szCs w:val="16"/>
        </w:rPr>
      </w:pPr>
      <w:r w:rsidRPr="00EB7B1D">
        <w:rPr>
          <w:rStyle w:val="FootnoteReference"/>
          <w:sz w:val="16"/>
          <w:szCs w:val="16"/>
        </w:rPr>
        <w:footnoteRef/>
      </w:r>
      <w:r w:rsidRPr="00EB7B1D">
        <w:rPr>
          <w:sz w:val="16"/>
          <w:szCs w:val="16"/>
        </w:rPr>
        <w:t xml:space="preserve"> </w:t>
      </w:r>
      <w:hyperlink r:id="rId1" w:history="1">
        <w:r w:rsidRPr="00EB7B1D">
          <w:rPr>
            <w:rStyle w:val="Hyperlink"/>
            <w:sz w:val="16"/>
            <w:szCs w:val="16"/>
          </w:rPr>
          <w:t>Board guidance on risk appetite | Good Governance (good-governance.org.uk)</w:t>
        </w:r>
      </w:hyperlink>
    </w:p>
  </w:footnote>
  <w:footnote w:id="2">
    <w:p w14:paraId="2DC7580E" w14:textId="64EBF64C" w:rsidR="00EB7B1D" w:rsidRPr="00EB7B1D" w:rsidRDefault="00EB7B1D">
      <w:pPr>
        <w:pStyle w:val="FootnoteText"/>
        <w:rPr>
          <w:sz w:val="16"/>
          <w:szCs w:val="16"/>
        </w:rPr>
      </w:pPr>
      <w:r w:rsidRPr="00EB7B1D">
        <w:rPr>
          <w:rStyle w:val="FootnoteReference"/>
          <w:sz w:val="16"/>
          <w:szCs w:val="16"/>
        </w:rPr>
        <w:footnoteRef/>
      </w:r>
      <w:r w:rsidRPr="00EB7B1D">
        <w:rPr>
          <w:sz w:val="16"/>
          <w:szCs w:val="16"/>
        </w:rPr>
        <w:t xml:space="preserve"> </w:t>
      </w:r>
      <w:hyperlink r:id="rId2" w:history="1">
        <w:r w:rsidRPr="00EB7B1D">
          <w:rPr>
            <w:rStyle w:val="Hyperlink"/>
            <w:sz w:val="16"/>
            <w:szCs w:val="16"/>
          </w:rPr>
          <w:t>The Orange Book – Management of Risk – Principles and Concepts (publishing.service.gov.uk)</w:t>
        </w:r>
      </w:hyperlink>
    </w:p>
  </w:footnote>
  <w:footnote w:id="3">
    <w:p w14:paraId="5EAA3801" w14:textId="2093E742" w:rsidR="00EB7B1D" w:rsidRPr="00EB7B1D" w:rsidRDefault="00EB7B1D">
      <w:pPr>
        <w:pStyle w:val="FootnoteText"/>
        <w:rPr>
          <w:sz w:val="16"/>
          <w:szCs w:val="16"/>
        </w:rPr>
      </w:pPr>
      <w:r w:rsidRPr="00EB7B1D">
        <w:rPr>
          <w:rStyle w:val="FootnoteReference"/>
          <w:sz w:val="16"/>
          <w:szCs w:val="16"/>
        </w:rPr>
        <w:footnoteRef/>
      </w:r>
      <w:r w:rsidRPr="00EB7B1D">
        <w:rPr>
          <w:sz w:val="16"/>
          <w:szCs w:val="16"/>
        </w:rPr>
        <w:t xml:space="preserve"> </w:t>
      </w:r>
      <w:hyperlink r:id="rId3" w:history="1">
        <w:r w:rsidRPr="00EB7B1D">
          <w:rPr>
            <w:rStyle w:val="Hyperlink"/>
            <w:sz w:val="16"/>
            <w:szCs w:val="16"/>
          </w:rPr>
          <w:t>20210805_-_Risk_Appetite_Guidance_Note_v2.0.pdf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FACA" w14:textId="07647539" w:rsidR="00A107E4" w:rsidRDefault="00A107E4" w:rsidP="00A107E4">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80"/>
    <w:multiLevelType w:val="hybridMultilevel"/>
    <w:tmpl w:val="9C421F56"/>
    <w:lvl w:ilvl="0" w:tplc="7624E0A2">
      <w:start w:val="1"/>
      <w:numFmt w:val="bullet"/>
      <w:lvlText w:val="•"/>
      <w:lvlJc w:val="left"/>
      <w:pPr>
        <w:tabs>
          <w:tab w:val="num" w:pos="720"/>
        </w:tabs>
        <w:ind w:left="720" w:hanging="360"/>
      </w:pPr>
      <w:rPr>
        <w:rFonts w:ascii="Arial" w:hAnsi="Arial" w:hint="default"/>
      </w:rPr>
    </w:lvl>
    <w:lvl w:ilvl="1" w:tplc="5D60A2B6" w:tentative="1">
      <w:start w:val="1"/>
      <w:numFmt w:val="bullet"/>
      <w:lvlText w:val="•"/>
      <w:lvlJc w:val="left"/>
      <w:pPr>
        <w:tabs>
          <w:tab w:val="num" w:pos="1440"/>
        </w:tabs>
        <w:ind w:left="1440" w:hanging="360"/>
      </w:pPr>
      <w:rPr>
        <w:rFonts w:ascii="Arial" w:hAnsi="Arial" w:hint="default"/>
      </w:rPr>
    </w:lvl>
    <w:lvl w:ilvl="2" w:tplc="D2886564" w:tentative="1">
      <w:start w:val="1"/>
      <w:numFmt w:val="bullet"/>
      <w:lvlText w:val="•"/>
      <w:lvlJc w:val="left"/>
      <w:pPr>
        <w:tabs>
          <w:tab w:val="num" w:pos="2160"/>
        </w:tabs>
        <w:ind w:left="2160" w:hanging="360"/>
      </w:pPr>
      <w:rPr>
        <w:rFonts w:ascii="Arial" w:hAnsi="Arial" w:hint="default"/>
      </w:rPr>
    </w:lvl>
    <w:lvl w:ilvl="3" w:tplc="1BB45092" w:tentative="1">
      <w:start w:val="1"/>
      <w:numFmt w:val="bullet"/>
      <w:lvlText w:val="•"/>
      <w:lvlJc w:val="left"/>
      <w:pPr>
        <w:tabs>
          <w:tab w:val="num" w:pos="2880"/>
        </w:tabs>
        <w:ind w:left="2880" w:hanging="360"/>
      </w:pPr>
      <w:rPr>
        <w:rFonts w:ascii="Arial" w:hAnsi="Arial" w:hint="default"/>
      </w:rPr>
    </w:lvl>
    <w:lvl w:ilvl="4" w:tplc="8AA68A4C" w:tentative="1">
      <w:start w:val="1"/>
      <w:numFmt w:val="bullet"/>
      <w:lvlText w:val="•"/>
      <w:lvlJc w:val="left"/>
      <w:pPr>
        <w:tabs>
          <w:tab w:val="num" w:pos="3600"/>
        </w:tabs>
        <w:ind w:left="3600" w:hanging="360"/>
      </w:pPr>
      <w:rPr>
        <w:rFonts w:ascii="Arial" w:hAnsi="Arial" w:hint="default"/>
      </w:rPr>
    </w:lvl>
    <w:lvl w:ilvl="5" w:tplc="26981DD4" w:tentative="1">
      <w:start w:val="1"/>
      <w:numFmt w:val="bullet"/>
      <w:lvlText w:val="•"/>
      <w:lvlJc w:val="left"/>
      <w:pPr>
        <w:tabs>
          <w:tab w:val="num" w:pos="4320"/>
        </w:tabs>
        <w:ind w:left="4320" w:hanging="360"/>
      </w:pPr>
      <w:rPr>
        <w:rFonts w:ascii="Arial" w:hAnsi="Arial" w:hint="default"/>
      </w:rPr>
    </w:lvl>
    <w:lvl w:ilvl="6" w:tplc="C0B46396" w:tentative="1">
      <w:start w:val="1"/>
      <w:numFmt w:val="bullet"/>
      <w:lvlText w:val="•"/>
      <w:lvlJc w:val="left"/>
      <w:pPr>
        <w:tabs>
          <w:tab w:val="num" w:pos="5040"/>
        </w:tabs>
        <w:ind w:left="5040" w:hanging="360"/>
      </w:pPr>
      <w:rPr>
        <w:rFonts w:ascii="Arial" w:hAnsi="Arial" w:hint="default"/>
      </w:rPr>
    </w:lvl>
    <w:lvl w:ilvl="7" w:tplc="F6CCAF94" w:tentative="1">
      <w:start w:val="1"/>
      <w:numFmt w:val="bullet"/>
      <w:lvlText w:val="•"/>
      <w:lvlJc w:val="left"/>
      <w:pPr>
        <w:tabs>
          <w:tab w:val="num" w:pos="5760"/>
        </w:tabs>
        <w:ind w:left="5760" w:hanging="360"/>
      </w:pPr>
      <w:rPr>
        <w:rFonts w:ascii="Arial" w:hAnsi="Arial" w:hint="default"/>
      </w:rPr>
    </w:lvl>
    <w:lvl w:ilvl="8" w:tplc="574EE2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646F5C"/>
    <w:multiLevelType w:val="hybridMultilevel"/>
    <w:tmpl w:val="D0108536"/>
    <w:lvl w:ilvl="0" w:tplc="FC6A0E5E">
      <w:start w:val="1"/>
      <w:numFmt w:val="bullet"/>
      <w:lvlText w:val="•"/>
      <w:lvlJc w:val="left"/>
      <w:pPr>
        <w:tabs>
          <w:tab w:val="num" w:pos="720"/>
        </w:tabs>
        <w:ind w:left="720" w:hanging="360"/>
      </w:pPr>
      <w:rPr>
        <w:rFonts w:ascii="Arial" w:hAnsi="Arial" w:hint="default"/>
      </w:rPr>
    </w:lvl>
    <w:lvl w:ilvl="1" w:tplc="AEBA8C6E" w:tentative="1">
      <w:start w:val="1"/>
      <w:numFmt w:val="bullet"/>
      <w:lvlText w:val="•"/>
      <w:lvlJc w:val="left"/>
      <w:pPr>
        <w:tabs>
          <w:tab w:val="num" w:pos="1440"/>
        </w:tabs>
        <w:ind w:left="1440" w:hanging="360"/>
      </w:pPr>
      <w:rPr>
        <w:rFonts w:ascii="Arial" w:hAnsi="Arial" w:hint="default"/>
      </w:rPr>
    </w:lvl>
    <w:lvl w:ilvl="2" w:tplc="BEFEC808" w:tentative="1">
      <w:start w:val="1"/>
      <w:numFmt w:val="bullet"/>
      <w:lvlText w:val="•"/>
      <w:lvlJc w:val="left"/>
      <w:pPr>
        <w:tabs>
          <w:tab w:val="num" w:pos="2160"/>
        </w:tabs>
        <w:ind w:left="2160" w:hanging="360"/>
      </w:pPr>
      <w:rPr>
        <w:rFonts w:ascii="Arial" w:hAnsi="Arial" w:hint="default"/>
      </w:rPr>
    </w:lvl>
    <w:lvl w:ilvl="3" w:tplc="57C6AA72" w:tentative="1">
      <w:start w:val="1"/>
      <w:numFmt w:val="bullet"/>
      <w:lvlText w:val="•"/>
      <w:lvlJc w:val="left"/>
      <w:pPr>
        <w:tabs>
          <w:tab w:val="num" w:pos="2880"/>
        </w:tabs>
        <w:ind w:left="2880" w:hanging="360"/>
      </w:pPr>
      <w:rPr>
        <w:rFonts w:ascii="Arial" w:hAnsi="Arial" w:hint="default"/>
      </w:rPr>
    </w:lvl>
    <w:lvl w:ilvl="4" w:tplc="6F601824" w:tentative="1">
      <w:start w:val="1"/>
      <w:numFmt w:val="bullet"/>
      <w:lvlText w:val="•"/>
      <w:lvlJc w:val="left"/>
      <w:pPr>
        <w:tabs>
          <w:tab w:val="num" w:pos="3600"/>
        </w:tabs>
        <w:ind w:left="3600" w:hanging="360"/>
      </w:pPr>
      <w:rPr>
        <w:rFonts w:ascii="Arial" w:hAnsi="Arial" w:hint="default"/>
      </w:rPr>
    </w:lvl>
    <w:lvl w:ilvl="5" w:tplc="6A584176" w:tentative="1">
      <w:start w:val="1"/>
      <w:numFmt w:val="bullet"/>
      <w:lvlText w:val="•"/>
      <w:lvlJc w:val="left"/>
      <w:pPr>
        <w:tabs>
          <w:tab w:val="num" w:pos="4320"/>
        </w:tabs>
        <w:ind w:left="4320" w:hanging="360"/>
      </w:pPr>
      <w:rPr>
        <w:rFonts w:ascii="Arial" w:hAnsi="Arial" w:hint="default"/>
      </w:rPr>
    </w:lvl>
    <w:lvl w:ilvl="6" w:tplc="972036C0" w:tentative="1">
      <w:start w:val="1"/>
      <w:numFmt w:val="bullet"/>
      <w:lvlText w:val="•"/>
      <w:lvlJc w:val="left"/>
      <w:pPr>
        <w:tabs>
          <w:tab w:val="num" w:pos="5040"/>
        </w:tabs>
        <w:ind w:left="5040" w:hanging="360"/>
      </w:pPr>
      <w:rPr>
        <w:rFonts w:ascii="Arial" w:hAnsi="Arial" w:hint="default"/>
      </w:rPr>
    </w:lvl>
    <w:lvl w:ilvl="7" w:tplc="C74A108E" w:tentative="1">
      <w:start w:val="1"/>
      <w:numFmt w:val="bullet"/>
      <w:lvlText w:val="•"/>
      <w:lvlJc w:val="left"/>
      <w:pPr>
        <w:tabs>
          <w:tab w:val="num" w:pos="5760"/>
        </w:tabs>
        <w:ind w:left="5760" w:hanging="360"/>
      </w:pPr>
      <w:rPr>
        <w:rFonts w:ascii="Arial" w:hAnsi="Arial" w:hint="default"/>
      </w:rPr>
    </w:lvl>
    <w:lvl w:ilvl="8" w:tplc="61C432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3374D9"/>
    <w:multiLevelType w:val="hybridMultilevel"/>
    <w:tmpl w:val="057EEC76"/>
    <w:lvl w:ilvl="0" w:tplc="2B6ADF3C">
      <w:start w:val="1"/>
      <w:numFmt w:val="bullet"/>
      <w:lvlText w:val="•"/>
      <w:lvlJc w:val="left"/>
      <w:pPr>
        <w:tabs>
          <w:tab w:val="num" w:pos="720"/>
        </w:tabs>
        <w:ind w:left="720" w:hanging="360"/>
      </w:pPr>
      <w:rPr>
        <w:rFonts w:ascii="Arial" w:hAnsi="Arial" w:hint="default"/>
      </w:rPr>
    </w:lvl>
    <w:lvl w:ilvl="1" w:tplc="9C6ED750" w:tentative="1">
      <w:start w:val="1"/>
      <w:numFmt w:val="bullet"/>
      <w:lvlText w:val="•"/>
      <w:lvlJc w:val="left"/>
      <w:pPr>
        <w:tabs>
          <w:tab w:val="num" w:pos="1440"/>
        </w:tabs>
        <w:ind w:left="1440" w:hanging="360"/>
      </w:pPr>
      <w:rPr>
        <w:rFonts w:ascii="Arial" w:hAnsi="Arial" w:hint="default"/>
      </w:rPr>
    </w:lvl>
    <w:lvl w:ilvl="2" w:tplc="99028982" w:tentative="1">
      <w:start w:val="1"/>
      <w:numFmt w:val="bullet"/>
      <w:lvlText w:val="•"/>
      <w:lvlJc w:val="left"/>
      <w:pPr>
        <w:tabs>
          <w:tab w:val="num" w:pos="2160"/>
        </w:tabs>
        <w:ind w:left="2160" w:hanging="360"/>
      </w:pPr>
      <w:rPr>
        <w:rFonts w:ascii="Arial" w:hAnsi="Arial" w:hint="default"/>
      </w:rPr>
    </w:lvl>
    <w:lvl w:ilvl="3" w:tplc="A7E20F00" w:tentative="1">
      <w:start w:val="1"/>
      <w:numFmt w:val="bullet"/>
      <w:lvlText w:val="•"/>
      <w:lvlJc w:val="left"/>
      <w:pPr>
        <w:tabs>
          <w:tab w:val="num" w:pos="2880"/>
        </w:tabs>
        <w:ind w:left="2880" w:hanging="360"/>
      </w:pPr>
      <w:rPr>
        <w:rFonts w:ascii="Arial" w:hAnsi="Arial" w:hint="default"/>
      </w:rPr>
    </w:lvl>
    <w:lvl w:ilvl="4" w:tplc="F250AEE6" w:tentative="1">
      <w:start w:val="1"/>
      <w:numFmt w:val="bullet"/>
      <w:lvlText w:val="•"/>
      <w:lvlJc w:val="left"/>
      <w:pPr>
        <w:tabs>
          <w:tab w:val="num" w:pos="3600"/>
        </w:tabs>
        <w:ind w:left="3600" w:hanging="360"/>
      </w:pPr>
      <w:rPr>
        <w:rFonts w:ascii="Arial" w:hAnsi="Arial" w:hint="default"/>
      </w:rPr>
    </w:lvl>
    <w:lvl w:ilvl="5" w:tplc="2944652A" w:tentative="1">
      <w:start w:val="1"/>
      <w:numFmt w:val="bullet"/>
      <w:lvlText w:val="•"/>
      <w:lvlJc w:val="left"/>
      <w:pPr>
        <w:tabs>
          <w:tab w:val="num" w:pos="4320"/>
        </w:tabs>
        <w:ind w:left="4320" w:hanging="360"/>
      </w:pPr>
      <w:rPr>
        <w:rFonts w:ascii="Arial" w:hAnsi="Arial" w:hint="default"/>
      </w:rPr>
    </w:lvl>
    <w:lvl w:ilvl="6" w:tplc="7940ED7C" w:tentative="1">
      <w:start w:val="1"/>
      <w:numFmt w:val="bullet"/>
      <w:lvlText w:val="•"/>
      <w:lvlJc w:val="left"/>
      <w:pPr>
        <w:tabs>
          <w:tab w:val="num" w:pos="5040"/>
        </w:tabs>
        <w:ind w:left="5040" w:hanging="360"/>
      </w:pPr>
      <w:rPr>
        <w:rFonts w:ascii="Arial" w:hAnsi="Arial" w:hint="default"/>
      </w:rPr>
    </w:lvl>
    <w:lvl w:ilvl="7" w:tplc="410CF9D0" w:tentative="1">
      <w:start w:val="1"/>
      <w:numFmt w:val="bullet"/>
      <w:lvlText w:val="•"/>
      <w:lvlJc w:val="left"/>
      <w:pPr>
        <w:tabs>
          <w:tab w:val="num" w:pos="5760"/>
        </w:tabs>
        <w:ind w:left="5760" w:hanging="360"/>
      </w:pPr>
      <w:rPr>
        <w:rFonts w:ascii="Arial" w:hAnsi="Arial" w:hint="default"/>
      </w:rPr>
    </w:lvl>
    <w:lvl w:ilvl="8" w:tplc="5E789E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B0532"/>
    <w:multiLevelType w:val="hybridMultilevel"/>
    <w:tmpl w:val="DF98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934A8"/>
    <w:multiLevelType w:val="hybridMultilevel"/>
    <w:tmpl w:val="5B8A4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23595"/>
    <w:multiLevelType w:val="hybridMultilevel"/>
    <w:tmpl w:val="85A69E72"/>
    <w:lvl w:ilvl="0" w:tplc="FA508896">
      <w:start w:val="1"/>
      <w:numFmt w:val="bullet"/>
      <w:lvlText w:val="•"/>
      <w:lvlJc w:val="left"/>
      <w:pPr>
        <w:tabs>
          <w:tab w:val="num" w:pos="720"/>
        </w:tabs>
        <w:ind w:left="720" w:hanging="360"/>
      </w:pPr>
      <w:rPr>
        <w:rFonts w:ascii="Arial" w:hAnsi="Arial" w:hint="default"/>
      </w:rPr>
    </w:lvl>
    <w:lvl w:ilvl="1" w:tplc="7EC82E06" w:tentative="1">
      <w:start w:val="1"/>
      <w:numFmt w:val="bullet"/>
      <w:lvlText w:val="•"/>
      <w:lvlJc w:val="left"/>
      <w:pPr>
        <w:tabs>
          <w:tab w:val="num" w:pos="1440"/>
        </w:tabs>
        <w:ind w:left="1440" w:hanging="360"/>
      </w:pPr>
      <w:rPr>
        <w:rFonts w:ascii="Arial" w:hAnsi="Arial" w:hint="default"/>
      </w:rPr>
    </w:lvl>
    <w:lvl w:ilvl="2" w:tplc="E9BEAD72" w:tentative="1">
      <w:start w:val="1"/>
      <w:numFmt w:val="bullet"/>
      <w:lvlText w:val="•"/>
      <w:lvlJc w:val="left"/>
      <w:pPr>
        <w:tabs>
          <w:tab w:val="num" w:pos="2160"/>
        </w:tabs>
        <w:ind w:left="2160" w:hanging="360"/>
      </w:pPr>
      <w:rPr>
        <w:rFonts w:ascii="Arial" w:hAnsi="Arial" w:hint="default"/>
      </w:rPr>
    </w:lvl>
    <w:lvl w:ilvl="3" w:tplc="7FC63566" w:tentative="1">
      <w:start w:val="1"/>
      <w:numFmt w:val="bullet"/>
      <w:lvlText w:val="•"/>
      <w:lvlJc w:val="left"/>
      <w:pPr>
        <w:tabs>
          <w:tab w:val="num" w:pos="2880"/>
        </w:tabs>
        <w:ind w:left="2880" w:hanging="360"/>
      </w:pPr>
      <w:rPr>
        <w:rFonts w:ascii="Arial" w:hAnsi="Arial" w:hint="default"/>
      </w:rPr>
    </w:lvl>
    <w:lvl w:ilvl="4" w:tplc="F3D03D64" w:tentative="1">
      <w:start w:val="1"/>
      <w:numFmt w:val="bullet"/>
      <w:lvlText w:val="•"/>
      <w:lvlJc w:val="left"/>
      <w:pPr>
        <w:tabs>
          <w:tab w:val="num" w:pos="3600"/>
        </w:tabs>
        <w:ind w:left="3600" w:hanging="360"/>
      </w:pPr>
      <w:rPr>
        <w:rFonts w:ascii="Arial" w:hAnsi="Arial" w:hint="default"/>
      </w:rPr>
    </w:lvl>
    <w:lvl w:ilvl="5" w:tplc="BA40D8B4" w:tentative="1">
      <w:start w:val="1"/>
      <w:numFmt w:val="bullet"/>
      <w:lvlText w:val="•"/>
      <w:lvlJc w:val="left"/>
      <w:pPr>
        <w:tabs>
          <w:tab w:val="num" w:pos="4320"/>
        </w:tabs>
        <w:ind w:left="4320" w:hanging="360"/>
      </w:pPr>
      <w:rPr>
        <w:rFonts w:ascii="Arial" w:hAnsi="Arial" w:hint="default"/>
      </w:rPr>
    </w:lvl>
    <w:lvl w:ilvl="6" w:tplc="18DC2392" w:tentative="1">
      <w:start w:val="1"/>
      <w:numFmt w:val="bullet"/>
      <w:lvlText w:val="•"/>
      <w:lvlJc w:val="left"/>
      <w:pPr>
        <w:tabs>
          <w:tab w:val="num" w:pos="5040"/>
        </w:tabs>
        <w:ind w:left="5040" w:hanging="360"/>
      </w:pPr>
      <w:rPr>
        <w:rFonts w:ascii="Arial" w:hAnsi="Arial" w:hint="default"/>
      </w:rPr>
    </w:lvl>
    <w:lvl w:ilvl="7" w:tplc="1F80D8D0" w:tentative="1">
      <w:start w:val="1"/>
      <w:numFmt w:val="bullet"/>
      <w:lvlText w:val="•"/>
      <w:lvlJc w:val="left"/>
      <w:pPr>
        <w:tabs>
          <w:tab w:val="num" w:pos="5760"/>
        </w:tabs>
        <w:ind w:left="5760" w:hanging="360"/>
      </w:pPr>
      <w:rPr>
        <w:rFonts w:ascii="Arial" w:hAnsi="Arial" w:hint="default"/>
      </w:rPr>
    </w:lvl>
    <w:lvl w:ilvl="8" w:tplc="1C101A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805FEA"/>
    <w:multiLevelType w:val="hybridMultilevel"/>
    <w:tmpl w:val="D02A8E8C"/>
    <w:lvl w:ilvl="0" w:tplc="FDF67B2C">
      <w:start w:val="1"/>
      <w:numFmt w:val="bullet"/>
      <w:lvlText w:val="•"/>
      <w:lvlJc w:val="left"/>
      <w:pPr>
        <w:tabs>
          <w:tab w:val="num" w:pos="720"/>
        </w:tabs>
        <w:ind w:left="720" w:hanging="360"/>
      </w:pPr>
      <w:rPr>
        <w:rFonts w:ascii="Arial" w:hAnsi="Arial" w:hint="default"/>
      </w:rPr>
    </w:lvl>
    <w:lvl w:ilvl="1" w:tplc="A3DEF894" w:tentative="1">
      <w:start w:val="1"/>
      <w:numFmt w:val="bullet"/>
      <w:lvlText w:val="•"/>
      <w:lvlJc w:val="left"/>
      <w:pPr>
        <w:tabs>
          <w:tab w:val="num" w:pos="1440"/>
        </w:tabs>
        <w:ind w:left="1440" w:hanging="360"/>
      </w:pPr>
      <w:rPr>
        <w:rFonts w:ascii="Arial" w:hAnsi="Arial" w:hint="default"/>
      </w:rPr>
    </w:lvl>
    <w:lvl w:ilvl="2" w:tplc="FCA4EC9A" w:tentative="1">
      <w:start w:val="1"/>
      <w:numFmt w:val="bullet"/>
      <w:lvlText w:val="•"/>
      <w:lvlJc w:val="left"/>
      <w:pPr>
        <w:tabs>
          <w:tab w:val="num" w:pos="2160"/>
        </w:tabs>
        <w:ind w:left="2160" w:hanging="360"/>
      </w:pPr>
      <w:rPr>
        <w:rFonts w:ascii="Arial" w:hAnsi="Arial" w:hint="default"/>
      </w:rPr>
    </w:lvl>
    <w:lvl w:ilvl="3" w:tplc="96D29254" w:tentative="1">
      <w:start w:val="1"/>
      <w:numFmt w:val="bullet"/>
      <w:lvlText w:val="•"/>
      <w:lvlJc w:val="left"/>
      <w:pPr>
        <w:tabs>
          <w:tab w:val="num" w:pos="2880"/>
        </w:tabs>
        <w:ind w:left="2880" w:hanging="360"/>
      </w:pPr>
      <w:rPr>
        <w:rFonts w:ascii="Arial" w:hAnsi="Arial" w:hint="default"/>
      </w:rPr>
    </w:lvl>
    <w:lvl w:ilvl="4" w:tplc="2EE690EA" w:tentative="1">
      <w:start w:val="1"/>
      <w:numFmt w:val="bullet"/>
      <w:lvlText w:val="•"/>
      <w:lvlJc w:val="left"/>
      <w:pPr>
        <w:tabs>
          <w:tab w:val="num" w:pos="3600"/>
        </w:tabs>
        <w:ind w:left="3600" w:hanging="360"/>
      </w:pPr>
      <w:rPr>
        <w:rFonts w:ascii="Arial" w:hAnsi="Arial" w:hint="default"/>
      </w:rPr>
    </w:lvl>
    <w:lvl w:ilvl="5" w:tplc="F4E6B650" w:tentative="1">
      <w:start w:val="1"/>
      <w:numFmt w:val="bullet"/>
      <w:lvlText w:val="•"/>
      <w:lvlJc w:val="left"/>
      <w:pPr>
        <w:tabs>
          <w:tab w:val="num" w:pos="4320"/>
        </w:tabs>
        <w:ind w:left="4320" w:hanging="360"/>
      </w:pPr>
      <w:rPr>
        <w:rFonts w:ascii="Arial" w:hAnsi="Arial" w:hint="default"/>
      </w:rPr>
    </w:lvl>
    <w:lvl w:ilvl="6" w:tplc="9630128E" w:tentative="1">
      <w:start w:val="1"/>
      <w:numFmt w:val="bullet"/>
      <w:lvlText w:val="•"/>
      <w:lvlJc w:val="left"/>
      <w:pPr>
        <w:tabs>
          <w:tab w:val="num" w:pos="5040"/>
        </w:tabs>
        <w:ind w:left="5040" w:hanging="360"/>
      </w:pPr>
      <w:rPr>
        <w:rFonts w:ascii="Arial" w:hAnsi="Arial" w:hint="default"/>
      </w:rPr>
    </w:lvl>
    <w:lvl w:ilvl="7" w:tplc="159EAA0C" w:tentative="1">
      <w:start w:val="1"/>
      <w:numFmt w:val="bullet"/>
      <w:lvlText w:val="•"/>
      <w:lvlJc w:val="left"/>
      <w:pPr>
        <w:tabs>
          <w:tab w:val="num" w:pos="5760"/>
        </w:tabs>
        <w:ind w:left="5760" w:hanging="360"/>
      </w:pPr>
      <w:rPr>
        <w:rFonts w:ascii="Arial" w:hAnsi="Arial" w:hint="default"/>
      </w:rPr>
    </w:lvl>
    <w:lvl w:ilvl="8" w:tplc="03423F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3300B1"/>
    <w:multiLevelType w:val="hybridMultilevel"/>
    <w:tmpl w:val="8A56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36056"/>
    <w:multiLevelType w:val="hybridMultilevel"/>
    <w:tmpl w:val="03FE71CA"/>
    <w:lvl w:ilvl="0" w:tplc="ECB221C6">
      <w:start w:val="1"/>
      <w:numFmt w:val="bullet"/>
      <w:lvlText w:val="•"/>
      <w:lvlJc w:val="left"/>
      <w:pPr>
        <w:tabs>
          <w:tab w:val="num" w:pos="720"/>
        </w:tabs>
        <w:ind w:left="720" w:hanging="360"/>
      </w:pPr>
      <w:rPr>
        <w:rFonts w:ascii="Arial" w:hAnsi="Arial" w:hint="default"/>
      </w:rPr>
    </w:lvl>
    <w:lvl w:ilvl="1" w:tplc="25209E84" w:tentative="1">
      <w:start w:val="1"/>
      <w:numFmt w:val="bullet"/>
      <w:lvlText w:val="•"/>
      <w:lvlJc w:val="left"/>
      <w:pPr>
        <w:tabs>
          <w:tab w:val="num" w:pos="1440"/>
        </w:tabs>
        <w:ind w:left="1440" w:hanging="360"/>
      </w:pPr>
      <w:rPr>
        <w:rFonts w:ascii="Arial" w:hAnsi="Arial" w:hint="default"/>
      </w:rPr>
    </w:lvl>
    <w:lvl w:ilvl="2" w:tplc="C3C60FC8" w:tentative="1">
      <w:start w:val="1"/>
      <w:numFmt w:val="bullet"/>
      <w:lvlText w:val="•"/>
      <w:lvlJc w:val="left"/>
      <w:pPr>
        <w:tabs>
          <w:tab w:val="num" w:pos="2160"/>
        </w:tabs>
        <w:ind w:left="2160" w:hanging="360"/>
      </w:pPr>
      <w:rPr>
        <w:rFonts w:ascii="Arial" w:hAnsi="Arial" w:hint="default"/>
      </w:rPr>
    </w:lvl>
    <w:lvl w:ilvl="3" w:tplc="DC92735C" w:tentative="1">
      <w:start w:val="1"/>
      <w:numFmt w:val="bullet"/>
      <w:lvlText w:val="•"/>
      <w:lvlJc w:val="left"/>
      <w:pPr>
        <w:tabs>
          <w:tab w:val="num" w:pos="2880"/>
        </w:tabs>
        <w:ind w:left="2880" w:hanging="360"/>
      </w:pPr>
      <w:rPr>
        <w:rFonts w:ascii="Arial" w:hAnsi="Arial" w:hint="default"/>
      </w:rPr>
    </w:lvl>
    <w:lvl w:ilvl="4" w:tplc="F06056DE" w:tentative="1">
      <w:start w:val="1"/>
      <w:numFmt w:val="bullet"/>
      <w:lvlText w:val="•"/>
      <w:lvlJc w:val="left"/>
      <w:pPr>
        <w:tabs>
          <w:tab w:val="num" w:pos="3600"/>
        </w:tabs>
        <w:ind w:left="3600" w:hanging="360"/>
      </w:pPr>
      <w:rPr>
        <w:rFonts w:ascii="Arial" w:hAnsi="Arial" w:hint="default"/>
      </w:rPr>
    </w:lvl>
    <w:lvl w:ilvl="5" w:tplc="F35A8B08" w:tentative="1">
      <w:start w:val="1"/>
      <w:numFmt w:val="bullet"/>
      <w:lvlText w:val="•"/>
      <w:lvlJc w:val="left"/>
      <w:pPr>
        <w:tabs>
          <w:tab w:val="num" w:pos="4320"/>
        </w:tabs>
        <w:ind w:left="4320" w:hanging="360"/>
      </w:pPr>
      <w:rPr>
        <w:rFonts w:ascii="Arial" w:hAnsi="Arial" w:hint="default"/>
      </w:rPr>
    </w:lvl>
    <w:lvl w:ilvl="6" w:tplc="1A3E3440" w:tentative="1">
      <w:start w:val="1"/>
      <w:numFmt w:val="bullet"/>
      <w:lvlText w:val="•"/>
      <w:lvlJc w:val="left"/>
      <w:pPr>
        <w:tabs>
          <w:tab w:val="num" w:pos="5040"/>
        </w:tabs>
        <w:ind w:left="5040" w:hanging="360"/>
      </w:pPr>
      <w:rPr>
        <w:rFonts w:ascii="Arial" w:hAnsi="Arial" w:hint="default"/>
      </w:rPr>
    </w:lvl>
    <w:lvl w:ilvl="7" w:tplc="D6AE7D40" w:tentative="1">
      <w:start w:val="1"/>
      <w:numFmt w:val="bullet"/>
      <w:lvlText w:val="•"/>
      <w:lvlJc w:val="left"/>
      <w:pPr>
        <w:tabs>
          <w:tab w:val="num" w:pos="5760"/>
        </w:tabs>
        <w:ind w:left="5760" w:hanging="360"/>
      </w:pPr>
      <w:rPr>
        <w:rFonts w:ascii="Arial" w:hAnsi="Arial" w:hint="default"/>
      </w:rPr>
    </w:lvl>
    <w:lvl w:ilvl="8" w:tplc="A210E4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977014"/>
    <w:multiLevelType w:val="hybridMultilevel"/>
    <w:tmpl w:val="E990F586"/>
    <w:lvl w:ilvl="0" w:tplc="AF98FE2E">
      <w:start w:val="1"/>
      <w:numFmt w:val="bullet"/>
      <w:lvlText w:val="•"/>
      <w:lvlJc w:val="left"/>
      <w:pPr>
        <w:tabs>
          <w:tab w:val="num" w:pos="720"/>
        </w:tabs>
        <w:ind w:left="720" w:hanging="360"/>
      </w:pPr>
      <w:rPr>
        <w:rFonts w:ascii="Arial" w:hAnsi="Arial" w:hint="default"/>
      </w:rPr>
    </w:lvl>
    <w:lvl w:ilvl="1" w:tplc="ECDC37FC" w:tentative="1">
      <w:start w:val="1"/>
      <w:numFmt w:val="bullet"/>
      <w:lvlText w:val="•"/>
      <w:lvlJc w:val="left"/>
      <w:pPr>
        <w:tabs>
          <w:tab w:val="num" w:pos="1440"/>
        </w:tabs>
        <w:ind w:left="1440" w:hanging="360"/>
      </w:pPr>
      <w:rPr>
        <w:rFonts w:ascii="Arial" w:hAnsi="Arial" w:hint="default"/>
      </w:rPr>
    </w:lvl>
    <w:lvl w:ilvl="2" w:tplc="31748E84" w:tentative="1">
      <w:start w:val="1"/>
      <w:numFmt w:val="bullet"/>
      <w:lvlText w:val="•"/>
      <w:lvlJc w:val="left"/>
      <w:pPr>
        <w:tabs>
          <w:tab w:val="num" w:pos="2160"/>
        </w:tabs>
        <w:ind w:left="2160" w:hanging="360"/>
      </w:pPr>
      <w:rPr>
        <w:rFonts w:ascii="Arial" w:hAnsi="Arial" w:hint="default"/>
      </w:rPr>
    </w:lvl>
    <w:lvl w:ilvl="3" w:tplc="CE9238F4" w:tentative="1">
      <w:start w:val="1"/>
      <w:numFmt w:val="bullet"/>
      <w:lvlText w:val="•"/>
      <w:lvlJc w:val="left"/>
      <w:pPr>
        <w:tabs>
          <w:tab w:val="num" w:pos="2880"/>
        </w:tabs>
        <w:ind w:left="2880" w:hanging="360"/>
      </w:pPr>
      <w:rPr>
        <w:rFonts w:ascii="Arial" w:hAnsi="Arial" w:hint="default"/>
      </w:rPr>
    </w:lvl>
    <w:lvl w:ilvl="4" w:tplc="417466FC" w:tentative="1">
      <w:start w:val="1"/>
      <w:numFmt w:val="bullet"/>
      <w:lvlText w:val="•"/>
      <w:lvlJc w:val="left"/>
      <w:pPr>
        <w:tabs>
          <w:tab w:val="num" w:pos="3600"/>
        </w:tabs>
        <w:ind w:left="3600" w:hanging="360"/>
      </w:pPr>
      <w:rPr>
        <w:rFonts w:ascii="Arial" w:hAnsi="Arial" w:hint="default"/>
      </w:rPr>
    </w:lvl>
    <w:lvl w:ilvl="5" w:tplc="4C6EB020" w:tentative="1">
      <w:start w:val="1"/>
      <w:numFmt w:val="bullet"/>
      <w:lvlText w:val="•"/>
      <w:lvlJc w:val="left"/>
      <w:pPr>
        <w:tabs>
          <w:tab w:val="num" w:pos="4320"/>
        </w:tabs>
        <w:ind w:left="4320" w:hanging="360"/>
      </w:pPr>
      <w:rPr>
        <w:rFonts w:ascii="Arial" w:hAnsi="Arial" w:hint="default"/>
      </w:rPr>
    </w:lvl>
    <w:lvl w:ilvl="6" w:tplc="6458F102" w:tentative="1">
      <w:start w:val="1"/>
      <w:numFmt w:val="bullet"/>
      <w:lvlText w:val="•"/>
      <w:lvlJc w:val="left"/>
      <w:pPr>
        <w:tabs>
          <w:tab w:val="num" w:pos="5040"/>
        </w:tabs>
        <w:ind w:left="5040" w:hanging="360"/>
      </w:pPr>
      <w:rPr>
        <w:rFonts w:ascii="Arial" w:hAnsi="Arial" w:hint="default"/>
      </w:rPr>
    </w:lvl>
    <w:lvl w:ilvl="7" w:tplc="99E21726" w:tentative="1">
      <w:start w:val="1"/>
      <w:numFmt w:val="bullet"/>
      <w:lvlText w:val="•"/>
      <w:lvlJc w:val="left"/>
      <w:pPr>
        <w:tabs>
          <w:tab w:val="num" w:pos="5760"/>
        </w:tabs>
        <w:ind w:left="5760" w:hanging="360"/>
      </w:pPr>
      <w:rPr>
        <w:rFonts w:ascii="Arial" w:hAnsi="Arial" w:hint="default"/>
      </w:rPr>
    </w:lvl>
    <w:lvl w:ilvl="8" w:tplc="5BF664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F54B40"/>
    <w:multiLevelType w:val="hybridMultilevel"/>
    <w:tmpl w:val="3D684BF6"/>
    <w:lvl w:ilvl="0" w:tplc="8EB89D5C">
      <w:start w:val="1"/>
      <w:numFmt w:val="bullet"/>
      <w:lvlText w:val="•"/>
      <w:lvlJc w:val="left"/>
      <w:pPr>
        <w:tabs>
          <w:tab w:val="num" w:pos="720"/>
        </w:tabs>
        <w:ind w:left="720" w:hanging="360"/>
      </w:pPr>
      <w:rPr>
        <w:rFonts w:ascii="Arial" w:hAnsi="Arial" w:hint="default"/>
      </w:rPr>
    </w:lvl>
    <w:lvl w:ilvl="1" w:tplc="785C00A8" w:tentative="1">
      <w:start w:val="1"/>
      <w:numFmt w:val="bullet"/>
      <w:lvlText w:val="•"/>
      <w:lvlJc w:val="left"/>
      <w:pPr>
        <w:tabs>
          <w:tab w:val="num" w:pos="1440"/>
        </w:tabs>
        <w:ind w:left="1440" w:hanging="360"/>
      </w:pPr>
      <w:rPr>
        <w:rFonts w:ascii="Arial" w:hAnsi="Arial" w:hint="default"/>
      </w:rPr>
    </w:lvl>
    <w:lvl w:ilvl="2" w:tplc="897A9288" w:tentative="1">
      <w:start w:val="1"/>
      <w:numFmt w:val="bullet"/>
      <w:lvlText w:val="•"/>
      <w:lvlJc w:val="left"/>
      <w:pPr>
        <w:tabs>
          <w:tab w:val="num" w:pos="2160"/>
        </w:tabs>
        <w:ind w:left="2160" w:hanging="360"/>
      </w:pPr>
      <w:rPr>
        <w:rFonts w:ascii="Arial" w:hAnsi="Arial" w:hint="default"/>
      </w:rPr>
    </w:lvl>
    <w:lvl w:ilvl="3" w:tplc="032E6EAA" w:tentative="1">
      <w:start w:val="1"/>
      <w:numFmt w:val="bullet"/>
      <w:lvlText w:val="•"/>
      <w:lvlJc w:val="left"/>
      <w:pPr>
        <w:tabs>
          <w:tab w:val="num" w:pos="2880"/>
        </w:tabs>
        <w:ind w:left="2880" w:hanging="360"/>
      </w:pPr>
      <w:rPr>
        <w:rFonts w:ascii="Arial" w:hAnsi="Arial" w:hint="default"/>
      </w:rPr>
    </w:lvl>
    <w:lvl w:ilvl="4" w:tplc="03E0EF60" w:tentative="1">
      <w:start w:val="1"/>
      <w:numFmt w:val="bullet"/>
      <w:lvlText w:val="•"/>
      <w:lvlJc w:val="left"/>
      <w:pPr>
        <w:tabs>
          <w:tab w:val="num" w:pos="3600"/>
        </w:tabs>
        <w:ind w:left="3600" w:hanging="360"/>
      </w:pPr>
      <w:rPr>
        <w:rFonts w:ascii="Arial" w:hAnsi="Arial" w:hint="default"/>
      </w:rPr>
    </w:lvl>
    <w:lvl w:ilvl="5" w:tplc="F4200D14" w:tentative="1">
      <w:start w:val="1"/>
      <w:numFmt w:val="bullet"/>
      <w:lvlText w:val="•"/>
      <w:lvlJc w:val="left"/>
      <w:pPr>
        <w:tabs>
          <w:tab w:val="num" w:pos="4320"/>
        </w:tabs>
        <w:ind w:left="4320" w:hanging="360"/>
      </w:pPr>
      <w:rPr>
        <w:rFonts w:ascii="Arial" w:hAnsi="Arial" w:hint="default"/>
      </w:rPr>
    </w:lvl>
    <w:lvl w:ilvl="6" w:tplc="24A2C6AC" w:tentative="1">
      <w:start w:val="1"/>
      <w:numFmt w:val="bullet"/>
      <w:lvlText w:val="•"/>
      <w:lvlJc w:val="left"/>
      <w:pPr>
        <w:tabs>
          <w:tab w:val="num" w:pos="5040"/>
        </w:tabs>
        <w:ind w:left="5040" w:hanging="360"/>
      </w:pPr>
      <w:rPr>
        <w:rFonts w:ascii="Arial" w:hAnsi="Arial" w:hint="default"/>
      </w:rPr>
    </w:lvl>
    <w:lvl w:ilvl="7" w:tplc="68781D28" w:tentative="1">
      <w:start w:val="1"/>
      <w:numFmt w:val="bullet"/>
      <w:lvlText w:val="•"/>
      <w:lvlJc w:val="left"/>
      <w:pPr>
        <w:tabs>
          <w:tab w:val="num" w:pos="5760"/>
        </w:tabs>
        <w:ind w:left="5760" w:hanging="360"/>
      </w:pPr>
      <w:rPr>
        <w:rFonts w:ascii="Arial" w:hAnsi="Arial" w:hint="default"/>
      </w:rPr>
    </w:lvl>
    <w:lvl w:ilvl="8" w:tplc="EBDABF48" w:tentative="1">
      <w:start w:val="1"/>
      <w:numFmt w:val="bullet"/>
      <w:lvlText w:val="•"/>
      <w:lvlJc w:val="left"/>
      <w:pPr>
        <w:tabs>
          <w:tab w:val="num" w:pos="6480"/>
        </w:tabs>
        <w:ind w:left="6480" w:hanging="360"/>
      </w:pPr>
      <w:rPr>
        <w:rFonts w:ascii="Arial" w:hAnsi="Arial" w:hint="default"/>
      </w:rPr>
    </w:lvl>
  </w:abstractNum>
  <w:num w:numId="1" w16cid:durableId="2130314746">
    <w:abstractNumId w:val="4"/>
  </w:num>
  <w:num w:numId="2" w16cid:durableId="14768984">
    <w:abstractNumId w:val="3"/>
  </w:num>
  <w:num w:numId="3" w16cid:durableId="50469944">
    <w:abstractNumId w:val="5"/>
  </w:num>
  <w:num w:numId="4" w16cid:durableId="1164711223">
    <w:abstractNumId w:val="10"/>
  </w:num>
  <w:num w:numId="5" w16cid:durableId="1003631689">
    <w:abstractNumId w:val="2"/>
  </w:num>
  <w:num w:numId="6" w16cid:durableId="1056512420">
    <w:abstractNumId w:val="9"/>
  </w:num>
  <w:num w:numId="7" w16cid:durableId="1087072463">
    <w:abstractNumId w:val="6"/>
  </w:num>
  <w:num w:numId="8" w16cid:durableId="1118526613">
    <w:abstractNumId w:val="8"/>
  </w:num>
  <w:num w:numId="9" w16cid:durableId="1042287675">
    <w:abstractNumId w:val="1"/>
  </w:num>
  <w:num w:numId="10" w16cid:durableId="1875342391">
    <w:abstractNumId w:val="0"/>
  </w:num>
  <w:num w:numId="11" w16cid:durableId="5295336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6F"/>
    <w:rsid w:val="0004090A"/>
    <w:rsid w:val="000712F8"/>
    <w:rsid w:val="000E1C68"/>
    <w:rsid w:val="001132CF"/>
    <w:rsid w:val="00127D4D"/>
    <w:rsid w:val="001362DF"/>
    <w:rsid w:val="00143D4D"/>
    <w:rsid w:val="00153B15"/>
    <w:rsid w:val="00173782"/>
    <w:rsid w:val="00196987"/>
    <w:rsid w:val="001C59E6"/>
    <w:rsid w:val="002628A4"/>
    <w:rsid w:val="002936C3"/>
    <w:rsid w:val="0033157A"/>
    <w:rsid w:val="003332CD"/>
    <w:rsid w:val="00336FDD"/>
    <w:rsid w:val="00345ED7"/>
    <w:rsid w:val="003A2675"/>
    <w:rsid w:val="003C494B"/>
    <w:rsid w:val="0043414F"/>
    <w:rsid w:val="0044036F"/>
    <w:rsid w:val="0046201D"/>
    <w:rsid w:val="00463B88"/>
    <w:rsid w:val="00492A09"/>
    <w:rsid w:val="00535705"/>
    <w:rsid w:val="006330D5"/>
    <w:rsid w:val="006A4B76"/>
    <w:rsid w:val="006E301E"/>
    <w:rsid w:val="0072199B"/>
    <w:rsid w:val="00746710"/>
    <w:rsid w:val="007D37AB"/>
    <w:rsid w:val="007D3B31"/>
    <w:rsid w:val="00823063"/>
    <w:rsid w:val="0082490B"/>
    <w:rsid w:val="00833B30"/>
    <w:rsid w:val="008533ED"/>
    <w:rsid w:val="008D1A58"/>
    <w:rsid w:val="008F59C1"/>
    <w:rsid w:val="00947042"/>
    <w:rsid w:val="00951077"/>
    <w:rsid w:val="009B1874"/>
    <w:rsid w:val="00A107E4"/>
    <w:rsid w:val="00A11DB9"/>
    <w:rsid w:val="00A145BD"/>
    <w:rsid w:val="00A64664"/>
    <w:rsid w:val="00A806BC"/>
    <w:rsid w:val="00B2356D"/>
    <w:rsid w:val="00C35EA0"/>
    <w:rsid w:val="00C461B3"/>
    <w:rsid w:val="00C52CFE"/>
    <w:rsid w:val="00C803D7"/>
    <w:rsid w:val="00D527BB"/>
    <w:rsid w:val="00DA21C1"/>
    <w:rsid w:val="00E26E0B"/>
    <w:rsid w:val="00E27F20"/>
    <w:rsid w:val="00E4786E"/>
    <w:rsid w:val="00E5071D"/>
    <w:rsid w:val="00EA4FA1"/>
    <w:rsid w:val="00EB7B1D"/>
    <w:rsid w:val="00F0537A"/>
    <w:rsid w:val="00F529A4"/>
    <w:rsid w:val="00FA046F"/>
    <w:rsid w:val="00FC129B"/>
    <w:rsid w:val="00FC3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1DA1F"/>
  <w15:chartTrackingRefBased/>
  <w15:docId w15:val="{F8CC8175-E634-4A66-ABD9-BEC58719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40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E3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01E"/>
  </w:style>
  <w:style w:type="paragraph" w:styleId="Footer">
    <w:name w:val="footer"/>
    <w:basedOn w:val="Normal"/>
    <w:link w:val="FooterChar"/>
    <w:uiPriority w:val="99"/>
    <w:unhideWhenUsed/>
    <w:rsid w:val="006E3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01E"/>
  </w:style>
  <w:style w:type="paragraph" w:styleId="ListParagraph">
    <w:name w:val="List Paragraph"/>
    <w:basedOn w:val="Normal"/>
    <w:uiPriority w:val="34"/>
    <w:qFormat/>
    <w:rsid w:val="00A11DB9"/>
    <w:pPr>
      <w:ind w:left="720"/>
      <w:contextualSpacing/>
    </w:pPr>
  </w:style>
  <w:style w:type="paragraph" w:styleId="BodyText">
    <w:name w:val="Body Text"/>
    <w:basedOn w:val="Normal"/>
    <w:link w:val="BodyTextChar"/>
    <w:unhideWhenUsed/>
    <w:qFormat/>
    <w:rsid w:val="007D3B31"/>
    <w:pPr>
      <w:spacing w:after="120" w:line="240" w:lineRule="auto"/>
    </w:pPr>
    <w:rPr>
      <w:sz w:val="24"/>
      <w:szCs w:val="24"/>
    </w:rPr>
  </w:style>
  <w:style w:type="character" w:customStyle="1" w:styleId="BodyTextChar">
    <w:name w:val="Body Text Char"/>
    <w:basedOn w:val="DefaultParagraphFont"/>
    <w:link w:val="BodyText"/>
    <w:rsid w:val="007D3B31"/>
    <w:rPr>
      <w:sz w:val="24"/>
      <w:szCs w:val="24"/>
    </w:rPr>
  </w:style>
  <w:style w:type="paragraph" w:styleId="FootnoteText">
    <w:name w:val="footnote text"/>
    <w:basedOn w:val="Normal"/>
    <w:link w:val="FootnoteTextChar"/>
    <w:uiPriority w:val="99"/>
    <w:semiHidden/>
    <w:unhideWhenUsed/>
    <w:rsid w:val="00EB7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1D"/>
    <w:rPr>
      <w:sz w:val="20"/>
      <w:szCs w:val="20"/>
    </w:rPr>
  </w:style>
  <w:style w:type="character" w:styleId="FootnoteReference">
    <w:name w:val="footnote reference"/>
    <w:basedOn w:val="DefaultParagraphFont"/>
    <w:uiPriority w:val="99"/>
    <w:semiHidden/>
    <w:unhideWhenUsed/>
    <w:rsid w:val="00EB7B1D"/>
    <w:rPr>
      <w:vertAlign w:val="superscript"/>
    </w:rPr>
  </w:style>
  <w:style w:type="character" w:styleId="Hyperlink">
    <w:name w:val="Hyperlink"/>
    <w:basedOn w:val="DefaultParagraphFont"/>
    <w:uiPriority w:val="99"/>
    <w:semiHidden/>
    <w:unhideWhenUsed/>
    <w:rsid w:val="00EB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675">
      <w:bodyDiv w:val="1"/>
      <w:marLeft w:val="0"/>
      <w:marRight w:val="0"/>
      <w:marTop w:val="0"/>
      <w:marBottom w:val="0"/>
      <w:divBdr>
        <w:top w:val="none" w:sz="0" w:space="0" w:color="auto"/>
        <w:left w:val="none" w:sz="0" w:space="0" w:color="auto"/>
        <w:bottom w:val="none" w:sz="0" w:space="0" w:color="auto"/>
        <w:right w:val="none" w:sz="0" w:space="0" w:color="auto"/>
      </w:divBdr>
    </w:div>
    <w:div w:id="180435262">
      <w:bodyDiv w:val="1"/>
      <w:marLeft w:val="0"/>
      <w:marRight w:val="0"/>
      <w:marTop w:val="0"/>
      <w:marBottom w:val="0"/>
      <w:divBdr>
        <w:top w:val="none" w:sz="0" w:space="0" w:color="auto"/>
        <w:left w:val="none" w:sz="0" w:space="0" w:color="auto"/>
        <w:bottom w:val="none" w:sz="0" w:space="0" w:color="auto"/>
        <w:right w:val="none" w:sz="0" w:space="0" w:color="auto"/>
      </w:divBdr>
      <w:divsChild>
        <w:div w:id="1943685556">
          <w:marLeft w:val="360"/>
          <w:marRight w:val="0"/>
          <w:marTop w:val="200"/>
          <w:marBottom w:val="0"/>
          <w:divBdr>
            <w:top w:val="none" w:sz="0" w:space="0" w:color="auto"/>
            <w:left w:val="none" w:sz="0" w:space="0" w:color="auto"/>
            <w:bottom w:val="none" w:sz="0" w:space="0" w:color="auto"/>
            <w:right w:val="none" w:sz="0" w:space="0" w:color="auto"/>
          </w:divBdr>
        </w:div>
      </w:divsChild>
    </w:div>
    <w:div w:id="219246475">
      <w:bodyDiv w:val="1"/>
      <w:marLeft w:val="0"/>
      <w:marRight w:val="0"/>
      <w:marTop w:val="0"/>
      <w:marBottom w:val="0"/>
      <w:divBdr>
        <w:top w:val="none" w:sz="0" w:space="0" w:color="auto"/>
        <w:left w:val="none" w:sz="0" w:space="0" w:color="auto"/>
        <w:bottom w:val="none" w:sz="0" w:space="0" w:color="auto"/>
        <w:right w:val="none" w:sz="0" w:space="0" w:color="auto"/>
      </w:divBdr>
      <w:divsChild>
        <w:div w:id="1543666804">
          <w:marLeft w:val="360"/>
          <w:marRight w:val="0"/>
          <w:marTop w:val="200"/>
          <w:marBottom w:val="0"/>
          <w:divBdr>
            <w:top w:val="none" w:sz="0" w:space="0" w:color="auto"/>
            <w:left w:val="none" w:sz="0" w:space="0" w:color="auto"/>
            <w:bottom w:val="none" w:sz="0" w:space="0" w:color="auto"/>
            <w:right w:val="none" w:sz="0" w:space="0" w:color="auto"/>
          </w:divBdr>
        </w:div>
      </w:divsChild>
    </w:div>
    <w:div w:id="908271591">
      <w:bodyDiv w:val="1"/>
      <w:marLeft w:val="0"/>
      <w:marRight w:val="0"/>
      <w:marTop w:val="0"/>
      <w:marBottom w:val="0"/>
      <w:divBdr>
        <w:top w:val="none" w:sz="0" w:space="0" w:color="auto"/>
        <w:left w:val="none" w:sz="0" w:space="0" w:color="auto"/>
        <w:bottom w:val="none" w:sz="0" w:space="0" w:color="auto"/>
        <w:right w:val="none" w:sz="0" w:space="0" w:color="auto"/>
      </w:divBdr>
      <w:divsChild>
        <w:div w:id="1687977000">
          <w:marLeft w:val="360"/>
          <w:marRight w:val="0"/>
          <w:marTop w:val="200"/>
          <w:marBottom w:val="0"/>
          <w:divBdr>
            <w:top w:val="none" w:sz="0" w:space="0" w:color="auto"/>
            <w:left w:val="none" w:sz="0" w:space="0" w:color="auto"/>
            <w:bottom w:val="none" w:sz="0" w:space="0" w:color="auto"/>
            <w:right w:val="none" w:sz="0" w:space="0" w:color="auto"/>
          </w:divBdr>
        </w:div>
      </w:divsChild>
    </w:div>
    <w:div w:id="928194157">
      <w:bodyDiv w:val="1"/>
      <w:marLeft w:val="0"/>
      <w:marRight w:val="0"/>
      <w:marTop w:val="0"/>
      <w:marBottom w:val="0"/>
      <w:divBdr>
        <w:top w:val="none" w:sz="0" w:space="0" w:color="auto"/>
        <w:left w:val="none" w:sz="0" w:space="0" w:color="auto"/>
        <w:bottom w:val="none" w:sz="0" w:space="0" w:color="auto"/>
        <w:right w:val="none" w:sz="0" w:space="0" w:color="auto"/>
      </w:divBdr>
    </w:div>
    <w:div w:id="1145969256">
      <w:bodyDiv w:val="1"/>
      <w:marLeft w:val="0"/>
      <w:marRight w:val="0"/>
      <w:marTop w:val="0"/>
      <w:marBottom w:val="0"/>
      <w:divBdr>
        <w:top w:val="none" w:sz="0" w:space="0" w:color="auto"/>
        <w:left w:val="none" w:sz="0" w:space="0" w:color="auto"/>
        <w:bottom w:val="none" w:sz="0" w:space="0" w:color="auto"/>
        <w:right w:val="none" w:sz="0" w:space="0" w:color="auto"/>
      </w:divBdr>
      <w:divsChild>
        <w:div w:id="11957918">
          <w:marLeft w:val="360"/>
          <w:marRight w:val="0"/>
          <w:marTop w:val="200"/>
          <w:marBottom w:val="0"/>
          <w:divBdr>
            <w:top w:val="none" w:sz="0" w:space="0" w:color="auto"/>
            <w:left w:val="none" w:sz="0" w:space="0" w:color="auto"/>
            <w:bottom w:val="none" w:sz="0" w:space="0" w:color="auto"/>
            <w:right w:val="none" w:sz="0" w:space="0" w:color="auto"/>
          </w:divBdr>
        </w:div>
      </w:divsChild>
    </w:div>
    <w:div w:id="1160346362">
      <w:bodyDiv w:val="1"/>
      <w:marLeft w:val="0"/>
      <w:marRight w:val="0"/>
      <w:marTop w:val="0"/>
      <w:marBottom w:val="0"/>
      <w:divBdr>
        <w:top w:val="none" w:sz="0" w:space="0" w:color="auto"/>
        <w:left w:val="none" w:sz="0" w:space="0" w:color="auto"/>
        <w:bottom w:val="none" w:sz="0" w:space="0" w:color="auto"/>
        <w:right w:val="none" w:sz="0" w:space="0" w:color="auto"/>
      </w:divBdr>
      <w:divsChild>
        <w:div w:id="183322350">
          <w:marLeft w:val="360"/>
          <w:marRight w:val="0"/>
          <w:marTop w:val="200"/>
          <w:marBottom w:val="0"/>
          <w:divBdr>
            <w:top w:val="none" w:sz="0" w:space="0" w:color="auto"/>
            <w:left w:val="none" w:sz="0" w:space="0" w:color="auto"/>
            <w:bottom w:val="none" w:sz="0" w:space="0" w:color="auto"/>
            <w:right w:val="none" w:sz="0" w:space="0" w:color="auto"/>
          </w:divBdr>
        </w:div>
      </w:divsChild>
    </w:div>
    <w:div w:id="1687487593">
      <w:bodyDiv w:val="1"/>
      <w:marLeft w:val="0"/>
      <w:marRight w:val="0"/>
      <w:marTop w:val="0"/>
      <w:marBottom w:val="0"/>
      <w:divBdr>
        <w:top w:val="none" w:sz="0" w:space="0" w:color="auto"/>
        <w:left w:val="none" w:sz="0" w:space="0" w:color="auto"/>
        <w:bottom w:val="none" w:sz="0" w:space="0" w:color="auto"/>
        <w:right w:val="none" w:sz="0" w:space="0" w:color="auto"/>
      </w:divBdr>
      <w:divsChild>
        <w:div w:id="1924676995">
          <w:marLeft w:val="360"/>
          <w:marRight w:val="0"/>
          <w:marTop w:val="200"/>
          <w:marBottom w:val="0"/>
          <w:divBdr>
            <w:top w:val="none" w:sz="0" w:space="0" w:color="auto"/>
            <w:left w:val="none" w:sz="0" w:space="0" w:color="auto"/>
            <w:bottom w:val="none" w:sz="0" w:space="0" w:color="auto"/>
            <w:right w:val="none" w:sz="0" w:space="0" w:color="auto"/>
          </w:divBdr>
        </w:div>
      </w:divsChild>
    </w:div>
    <w:div w:id="1840391056">
      <w:bodyDiv w:val="1"/>
      <w:marLeft w:val="0"/>
      <w:marRight w:val="0"/>
      <w:marTop w:val="0"/>
      <w:marBottom w:val="0"/>
      <w:divBdr>
        <w:top w:val="none" w:sz="0" w:space="0" w:color="auto"/>
        <w:left w:val="none" w:sz="0" w:space="0" w:color="auto"/>
        <w:bottom w:val="none" w:sz="0" w:space="0" w:color="auto"/>
        <w:right w:val="none" w:sz="0" w:space="0" w:color="auto"/>
      </w:divBdr>
      <w:divsChild>
        <w:div w:id="1039622257">
          <w:marLeft w:val="360"/>
          <w:marRight w:val="0"/>
          <w:marTop w:val="200"/>
          <w:marBottom w:val="0"/>
          <w:divBdr>
            <w:top w:val="none" w:sz="0" w:space="0" w:color="auto"/>
            <w:left w:val="none" w:sz="0" w:space="0" w:color="auto"/>
            <w:bottom w:val="none" w:sz="0" w:space="0" w:color="auto"/>
            <w:right w:val="none" w:sz="0" w:space="0" w:color="auto"/>
          </w:divBdr>
        </w:div>
      </w:divsChild>
    </w:div>
    <w:div w:id="1863978397">
      <w:bodyDiv w:val="1"/>
      <w:marLeft w:val="0"/>
      <w:marRight w:val="0"/>
      <w:marTop w:val="0"/>
      <w:marBottom w:val="0"/>
      <w:divBdr>
        <w:top w:val="none" w:sz="0" w:space="0" w:color="auto"/>
        <w:left w:val="none" w:sz="0" w:space="0" w:color="auto"/>
        <w:bottom w:val="none" w:sz="0" w:space="0" w:color="auto"/>
        <w:right w:val="none" w:sz="0" w:space="0" w:color="auto"/>
      </w:divBdr>
      <w:divsChild>
        <w:div w:id="169017669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file:///T:\Corporate%20Governance\Risk%20Management\Risk%20Appetite\20210805_-_Risk_Appetite_Guidance_Note_v2.0.pdf" TargetMode="External"/><Relationship Id="rId2" Type="http://schemas.openxmlformats.org/officeDocument/2006/relationships/hyperlink" Target="https://assets.publishing.service.gov.uk/government/uploads/system/uploads/attachment_data/file/1154709/HMT_Orange_Book_May_2023.pdf" TargetMode="External"/><Relationship Id="rId1" Type="http://schemas.openxmlformats.org/officeDocument/2006/relationships/hyperlink" Target="https://www.good-governance.org.uk/publications/papers/board-guidance-on-risk-appet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24F3-C53F-49C8-999D-86EFB28F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MARLEY, Wendy (NHS NORTH OF ENGLAND COMMISSIONING SUPPORT UNIT)</dc:creator>
  <cp:keywords/>
  <dc:description/>
  <cp:lastModifiedBy>HAWKINS, Neil (NHS NORTH EAST AND NORTH CUMBRIA ICB - 00P)</cp:lastModifiedBy>
  <cp:revision>4</cp:revision>
  <dcterms:created xsi:type="dcterms:W3CDTF">2025-04-02T08:42:00Z</dcterms:created>
  <dcterms:modified xsi:type="dcterms:W3CDTF">2025-04-02T09:18:00Z</dcterms:modified>
</cp:coreProperties>
</file>